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3C" w:rsidRDefault="004F0B3C" w:rsidP="001C56AC">
      <w:pPr>
        <w:rPr>
          <w:rFonts w:cstheme="minorHAnsi"/>
          <w:b/>
          <w:bCs/>
          <w:sz w:val="72"/>
          <w:szCs w:val="72"/>
        </w:rPr>
      </w:pPr>
    </w:p>
    <w:p w:rsidR="004F0B3C" w:rsidRDefault="004F0B3C" w:rsidP="001C56AC">
      <w:pPr>
        <w:rPr>
          <w:rFonts w:cstheme="minorHAnsi"/>
          <w:b/>
          <w:bCs/>
          <w:sz w:val="72"/>
          <w:szCs w:val="72"/>
        </w:rPr>
      </w:pPr>
    </w:p>
    <w:p w:rsidR="00B6394F" w:rsidRPr="004F0B3C" w:rsidRDefault="00B6394F" w:rsidP="001C56AC">
      <w:pPr>
        <w:rPr>
          <w:rFonts w:cstheme="minorHAnsi"/>
          <w:b/>
          <w:bCs/>
          <w:sz w:val="72"/>
          <w:szCs w:val="72"/>
        </w:rPr>
      </w:pPr>
      <w:r w:rsidRPr="004F0B3C">
        <w:rPr>
          <w:rFonts w:cstheme="minorHAnsi"/>
          <w:b/>
          <w:bCs/>
          <w:sz w:val="72"/>
          <w:szCs w:val="72"/>
        </w:rPr>
        <w:t xml:space="preserve">Оценяване </w:t>
      </w:r>
      <w:r w:rsidR="004F0B3C" w:rsidRPr="004F0B3C">
        <w:rPr>
          <w:rFonts w:cstheme="minorHAnsi"/>
          <w:b/>
          <w:bCs/>
          <w:sz w:val="72"/>
          <w:szCs w:val="72"/>
        </w:rPr>
        <w:t xml:space="preserve">на стойността за бизнеса </w:t>
      </w:r>
      <w:r w:rsidRPr="004F0B3C">
        <w:rPr>
          <w:rFonts w:cstheme="minorHAnsi"/>
          <w:b/>
          <w:bCs/>
          <w:sz w:val="72"/>
          <w:szCs w:val="72"/>
        </w:rPr>
        <w:t>на</w:t>
      </w:r>
      <w:r w:rsidR="004F0B3C">
        <w:rPr>
          <w:rFonts w:cstheme="minorHAnsi"/>
          <w:b/>
          <w:bCs/>
          <w:sz w:val="72"/>
          <w:szCs w:val="72"/>
        </w:rPr>
        <w:t xml:space="preserve"> </w:t>
      </w:r>
      <w:r w:rsidRPr="004F0B3C">
        <w:rPr>
          <w:rFonts w:cstheme="minorHAnsi"/>
          <w:b/>
          <w:bCs/>
          <w:sz w:val="72"/>
          <w:szCs w:val="72"/>
        </w:rPr>
        <w:t>информационните системи</w:t>
      </w:r>
    </w:p>
    <w:p w:rsidR="00B6394F" w:rsidRPr="004F0B3C" w:rsidRDefault="00B6394F" w:rsidP="001C56AC">
      <w:pPr>
        <w:rPr>
          <w:rFonts w:cstheme="minorHAnsi"/>
          <w:b/>
          <w:bCs/>
          <w:sz w:val="26"/>
          <w:szCs w:val="26"/>
          <w:lang w:val="en-US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</w:p>
    <w:p w:rsidR="004F0B3C" w:rsidRDefault="004F0B3C">
      <w:pPr>
        <w:rPr>
          <w:rFonts w:cstheme="minorHAnsi"/>
          <w:b/>
          <w:bCs/>
          <w:sz w:val="26"/>
          <w:szCs w:val="26"/>
        </w:rPr>
      </w:pPr>
      <w:r>
        <w:rPr>
          <w:rFonts w:cstheme="minorHAnsi"/>
          <w:b/>
          <w:bCs/>
          <w:sz w:val="26"/>
          <w:szCs w:val="26"/>
        </w:rPr>
        <w:t>Иван Диков 10785</w:t>
      </w:r>
      <w:r>
        <w:rPr>
          <w:rFonts w:cstheme="minorHAnsi"/>
          <w:b/>
          <w:bCs/>
          <w:sz w:val="26"/>
          <w:szCs w:val="26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bg-BG" w:eastAsia="en-US"/>
        </w:rPr>
        <w:id w:val="-6943881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4CFD" w:rsidRPr="00C325BC" w:rsidRDefault="00C325BC">
          <w:pPr>
            <w:pStyle w:val="TOCHeading"/>
            <w:rPr>
              <w:lang w:val="bg-BG"/>
            </w:rPr>
          </w:pPr>
          <w:r>
            <w:rPr>
              <w:lang w:val="bg-BG"/>
            </w:rPr>
            <w:t xml:space="preserve">Съдържание </w:t>
          </w:r>
        </w:p>
        <w:p w:rsidR="00C325BC" w:rsidRDefault="00B94CFD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5275178" w:history="1">
            <w:r w:rsidR="00C325BC" w:rsidRPr="00B0198E">
              <w:rPr>
                <w:rStyle w:val="Hyperlink"/>
                <w:rFonts w:cstheme="minorHAnsi"/>
                <w:bCs/>
                <w:noProof/>
              </w:rPr>
              <w:t>1.</w:t>
            </w:r>
            <w:r w:rsidR="00C325BC">
              <w:rPr>
                <w:rFonts w:eastAsiaTheme="minorEastAsia"/>
                <w:noProof/>
                <w:lang w:eastAsia="bg-BG"/>
              </w:rPr>
              <w:tab/>
            </w:r>
            <w:r w:rsidR="00C325BC" w:rsidRPr="00B0198E">
              <w:rPr>
                <w:rStyle w:val="Hyperlink"/>
                <w:rFonts w:cstheme="minorHAnsi"/>
                <w:bCs/>
                <w:noProof/>
              </w:rPr>
              <w:t>Увод</w:t>
            </w:r>
            <w:r w:rsidR="00C325BC">
              <w:rPr>
                <w:noProof/>
                <w:webHidden/>
              </w:rPr>
              <w:tab/>
            </w:r>
            <w:r w:rsidR="00C325BC">
              <w:rPr>
                <w:noProof/>
                <w:webHidden/>
              </w:rPr>
              <w:fldChar w:fldCharType="begin"/>
            </w:r>
            <w:r w:rsidR="00C325BC">
              <w:rPr>
                <w:noProof/>
                <w:webHidden/>
              </w:rPr>
              <w:instrText xml:space="preserve"> PAGEREF _Toc315275178 \h </w:instrText>
            </w:r>
            <w:r w:rsidR="00C325BC">
              <w:rPr>
                <w:noProof/>
                <w:webHidden/>
              </w:rPr>
            </w:r>
            <w:r w:rsidR="00C325BC">
              <w:rPr>
                <w:noProof/>
                <w:webHidden/>
              </w:rPr>
              <w:fldChar w:fldCharType="separate"/>
            </w:r>
            <w:r w:rsidR="00C325BC">
              <w:rPr>
                <w:noProof/>
                <w:webHidden/>
              </w:rPr>
              <w:t>3</w:t>
            </w:r>
            <w:r w:rsidR="00C325BC">
              <w:rPr>
                <w:noProof/>
                <w:webHidden/>
              </w:rPr>
              <w:fldChar w:fldCharType="end"/>
            </w:r>
          </w:hyperlink>
        </w:p>
        <w:p w:rsidR="00C325BC" w:rsidRDefault="00C325BC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hyperlink w:anchor="_Toc315275179" w:history="1">
            <w:r w:rsidRPr="00B0198E">
              <w:rPr>
                <w:rStyle w:val="Hyperlink"/>
                <w:rFonts w:cstheme="minorHAnsi"/>
                <w:bCs/>
                <w:noProof/>
              </w:rPr>
              <w:t>2.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B0198E">
              <w:rPr>
                <w:rStyle w:val="Hyperlink"/>
                <w:rFonts w:cstheme="minorHAnsi"/>
                <w:bCs/>
                <w:noProof/>
              </w:rPr>
              <w:t>Традиционни модели на бюджетиране на капиталовите разходи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_Toc315275179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25BC" w:rsidRDefault="00C325BC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hyperlink w:anchor="_Toc315275180" w:history="1">
            <w:r w:rsidRPr="00B0198E">
              <w:rPr>
                <w:rStyle w:val="Hyperlink"/>
                <w:rFonts w:cstheme="minorHAnsi"/>
                <w:bCs/>
                <w:noProof/>
              </w:rPr>
              <w:t>3.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B0198E">
              <w:rPr>
                <w:rStyle w:val="Hyperlink"/>
                <w:rFonts w:cstheme="minorHAnsi"/>
                <w:bCs/>
                <w:noProof/>
              </w:rPr>
              <w:t>Пример: Внедряване на склад от данни в Банка 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_Toc315275180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25BC" w:rsidRDefault="00C325BC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hyperlink w:anchor="_Toc315275181" w:history="1">
            <w:r w:rsidRPr="00B0198E">
              <w:rPr>
                <w:rStyle w:val="Hyperlink"/>
                <w:rFonts w:cstheme="minorHAnsi"/>
                <w:bCs/>
                <w:noProof/>
                <w:lang w:val="en-US"/>
              </w:rPr>
              <w:t>4.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B0198E">
              <w:rPr>
                <w:rStyle w:val="Hyperlink"/>
                <w:rFonts w:cstheme="minorHAnsi"/>
                <w:bCs/>
                <w:noProof/>
              </w:rPr>
              <w:t>Стратегически аспекти и 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_Toc315275181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25BC" w:rsidRDefault="00C325BC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hyperlink w:anchor="_Toc315275182" w:history="1">
            <w:r w:rsidRPr="00B0198E">
              <w:rPr>
                <w:rStyle w:val="Hyperlink"/>
                <w:rFonts w:cstheme="minorHAnsi"/>
                <w:bCs/>
                <w:noProof/>
                <w:lang w:val="en-US"/>
              </w:rPr>
              <w:t>5.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B0198E">
              <w:rPr>
                <w:rStyle w:val="Hyperlink"/>
                <w:rFonts w:cstheme="minorHAnsi"/>
                <w:bCs/>
                <w:noProof/>
              </w:rPr>
              <w:t>Инвестиции в УИС и тяхната продуктивност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_Toc315275182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25BC" w:rsidRDefault="00C325BC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bg-BG"/>
            </w:rPr>
          </w:pPr>
          <w:hyperlink w:anchor="_Toc315275183" w:history="1">
            <w:r w:rsidRPr="00B0198E">
              <w:rPr>
                <w:rStyle w:val="Hyperlink"/>
                <w:rFonts w:cstheme="minorHAnsi"/>
                <w:bCs/>
                <w:noProof/>
                <w:lang w:val="en-US"/>
              </w:rPr>
              <w:t>6.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B0198E">
              <w:rPr>
                <w:rStyle w:val="Hyperlink"/>
                <w:rFonts w:cstheme="minorHAnsi"/>
                <w:bCs/>
                <w:noProof/>
              </w:rPr>
              <w:t>Ползвана литература: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_Toc315275183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4CFD" w:rsidRDefault="00B94CFD">
          <w:r>
            <w:rPr>
              <w:b/>
              <w:bCs/>
              <w:noProof/>
            </w:rPr>
            <w:fldChar w:fldCharType="end"/>
          </w:r>
        </w:p>
      </w:sdtContent>
    </w:sdt>
    <w:p w:rsidR="00B94CFD" w:rsidRDefault="00B94CFD">
      <w:pPr>
        <w:rPr>
          <w:rFonts w:cstheme="minorHAnsi"/>
          <w:bCs/>
          <w:sz w:val="26"/>
          <w:szCs w:val="26"/>
        </w:rPr>
      </w:pPr>
      <w:r>
        <w:rPr>
          <w:rFonts w:cstheme="minorHAnsi"/>
          <w:bCs/>
          <w:sz w:val="26"/>
          <w:szCs w:val="26"/>
        </w:rPr>
        <w:br w:type="page"/>
      </w:r>
    </w:p>
    <w:p w:rsidR="00FA6B54" w:rsidRDefault="00FA6B54" w:rsidP="00B94CFD">
      <w:pPr>
        <w:pStyle w:val="ListParagraph"/>
        <w:numPr>
          <w:ilvl w:val="0"/>
          <w:numId w:val="1"/>
        </w:numPr>
        <w:outlineLvl w:val="0"/>
        <w:rPr>
          <w:rFonts w:cstheme="minorHAnsi"/>
          <w:bCs/>
          <w:sz w:val="26"/>
          <w:szCs w:val="26"/>
        </w:rPr>
      </w:pPr>
      <w:bookmarkStart w:id="0" w:name="_Toc315275178"/>
      <w:r>
        <w:rPr>
          <w:rFonts w:cstheme="minorHAnsi"/>
          <w:bCs/>
          <w:sz w:val="26"/>
          <w:szCs w:val="26"/>
        </w:rPr>
        <w:t>Увод</w:t>
      </w:r>
      <w:bookmarkEnd w:id="0"/>
    </w:p>
    <w:p w:rsidR="00A65D2A" w:rsidRDefault="00A65D2A">
      <w:pPr>
        <w:rPr>
          <w:rFonts w:cstheme="minorHAnsi"/>
          <w:bCs/>
        </w:rPr>
      </w:pPr>
      <w:r w:rsidRPr="00A65D2A">
        <w:rPr>
          <w:rFonts w:cstheme="minorHAnsi"/>
          <w:bCs/>
        </w:rPr>
        <w:t>През последните две десетилетия, напредъкът на технологиите, и в частност, на информационните технологии е толкова съществен, че не само коренно се променят начина и качеството на предлаганите услуги (например в банковия сектор, публични регистри и т.н.), но и се създават нови бизнес сектори, като мобилните комуникации, „.</w:t>
      </w:r>
      <w:r w:rsidRPr="00A65D2A">
        <w:rPr>
          <w:rFonts w:cstheme="minorHAnsi"/>
          <w:bCs/>
          <w:lang w:val="en-US"/>
        </w:rPr>
        <w:t>com</w:t>
      </w:r>
      <w:r w:rsidRPr="00A65D2A">
        <w:rPr>
          <w:rFonts w:cstheme="minorHAnsi"/>
          <w:bCs/>
        </w:rPr>
        <w:t>“</w:t>
      </w:r>
      <w:r w:rsidRPr="00A65D2A">
        <w:rPr>
          <w:rFonts w:cstheme="minorHAnsi"/>
          <w:bCs/>
          <w:lang w:val="en-US"/>
        </w:rPr>
        <w:t xml:space="preserve"> </w:t>
      </w:r>
      <w:r w:rsidRPr="00A65D2A">
        <w:rPr>
          <w:rFonts w:cstheme="minorHAnsi"/>
          <w:bCs/>
        </w:rPr>
        <w:t xml:space="preserve">компаниите и т.н. </w:t>
      </w:r>
    </w:p>
    <w:p w:rsidR="00A65D2A" w:rsidRDefault="00A65D2A">
      <w:pPr>
        <w:rPr>
          <w:rFonts w:cstheme="minorHAnsi"/>
          <w:bCs/>
        </w:rPr>
      </w:pPr>
      <w:r>
        <w:rPr>
          <w:rFonts w:cstheme="minorHAnsi"/>
          <w:bCs/>
        </w:rPr>
        <w:t>Използването на информационни технологии създава конкурентно предимство за всяка една организация и това предопределя масовото им проникване във всяка една област на бизнеса и ежедневието. Ползването на компютри от фирмите, както и притежаването на мобилен телефон</w:t>
      </w:r>
      <w:r w:rsidR="00A4107F">
        <w:rPr>
          <w:rFonts w:cstheme="minorHAnsi"/>
          <w:bCs/>
        </w:rPr>
        <w:t xml:space="preserve"> от хората са вече стандарт;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  <w:lang w:val="en-US"/>
        </w:rPr>
        <w:t xml:space="preserve">Google </w:t>
      </w:r>
      <w:r>
        <w:rPr>
          <w:rFonts w:cstheme="minorHAnsi"/>
          <w:bCs/>
        </w:rPr>
        <w:t xml:space="preserve">и </w:t>
      </w:r>
      <w:r>
        <w:rPr>
          <w:rFonts w:cstheme="minorHAnsi"/>
          <w:bCs/>
          <w:lang w:val="en-US"/>
        </w:rPr>
        <w:t xml:space="preserve">Facebook </w:t>
      </w:r>
      <w:r>
        <w:rPr>
          <w:rFonts w:cstheme="minorHAnsi"/>
          <w:bCs/>
        </w:rPr>
        <w:t xml:space="preserve">са не само информационни платформи, но и </w:t>
      </w:r>
      <w:r w:rsidRPr="00A65D2A">
        <w:rPr>
          <w:rFonts w:cstheme="minorHAnsi"/>
          <w:bCs/>
          <w:i/>
        </w:rPr>
        <w:t>глаголи</w:t>
      </w:r>
      <w:r w:rsidR="00A4107F">
        <w:rPr>
          <w:rFonts w:cstheme="minorHAnsi"/>
          <w:bCs/>
          <w:i/>
        </w:rPr>
        <w:t xml:space="preserve"> </w:t>
      </w:r>
      <w:r w:rsidR="00A4107F">
        <w:rPr>
          <w:rFonts w:cstheme="minorHAnsi"/>
          <w:bCs/>
        </w:rPr>
        <w:t>и т.н.</w:t>
      </w:r>
      <w:r>
        <w:rPr>
          <w:rFonts w:cstheme="minorHAnsi"/>
          <w:bCs/>
        </w:rPr>
        <w:t xml:space="preserve">. </w:t>
      </w:r>
    </w:p>
    <w:p w:rsidR="00A65D2A" w:rsidRDefault="00A65D2A">
      <w:pPr>
        <w:rPr>
          <w:rFonts w:cstheme="minorHAnsi"/>
          <w:bCs/>
        </w:rPr>
      </w:pPr>
      <w:r>
        <w:rPr>
          <w:rFonts w:cstheme="minorHAnsi"/>
          <w:bCs/>
        </w:rPr>
        <w:t>Поради динамичното развитие на ИТ и лесния достъп до глобална информация, избора на конкретни технологии за дадена компания става все по-труден. Освен многообразието от решения на пазара, организациите са изправени пред още няколко трудни въпроса:</w:t>
      </w:r>
    </w:p>
    <w:p w:rsidR="00A65D2A" w:rsidRPr="00A65D2A" w:rsidRDefault="00A65D2A" w:rsidP="00A65D2A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Колко реално струва инвестицията в технологии (</w:t>
      </w:r>
      <w:r>
        <w:rPr>
          <w:rFonts w:cstheme="minorHAnsi"/>
          <w:bCs/>
          <w:lang w:val="en-US"/>
        </w:rPr>
        <w:t>TCO</w:t>
      </w:r>
      <w:r>
        <w:rPr>
          <w:rFonts w:cstheme="minorHAnsi"/>
          <w:bCs/>
        </w:rPr>
        <w:t>)?</w:t>
      </w:r>
    </w:p>
    <w:p w:rsidR="00A65D2A" w:rsidRDefault="00A65D2A" w:rsidP="00A65D2A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 xml:space="preserve">Каква реално е ползата от новите технологии? </w:t>
      </w:r>
    </w:p>
    <w:p w:rsidR="00A4107F" w:rsidRDefault="00A65D2A" w:rsidP="00A65D2A">
      <w:pPr>
        <w:rPr>
          <w:rFonts w:cstheme="minorHAnsi"/>
          <w:bCs/>
        </w:rPr>
      </w:pPr>
      <w:r>
        <w:rPr>
          <w:rFonts w:cstheme="minorHAnsi"/>
          <w:bCs/>
        </w:rPr>
        <w:t xml:space="preserve">Често организациите не оценяват скритите разходи при внедряване на нова система. Най-често такива са: времето посветено от служителите на внедряването на новата система; допълнителните инфраструктурни разходи; разходите </w:t>
      </w:r>
      <w:r w:rsidR="00A4107F">
        <w:rPr>
          <w:rFonts w:cstheme="minorHAnsi"/>
          <w:bCs/>
        </w:rPr>
        <w:t>свързани с</w:t>
      </w:r>
      <w:r>
        <w:rPr>
          <w:rFonts w:cstheme="minorHAnsi"/>
          <w:bCs/>
        </w:rPr>
        <w:t xml:space="preserve"> промяна на процесите в организацията.</w:t>
      </w:r>
      <w:r w:rsidR="00A4107F">
        <w:rPr>
          <w:rFonts w:cstheme="minorHAnsi"/>
          <w:bCs/>
        </w:rPr>
        <w:t xml:space="preserve"> Ползите също, могат да са трудно измерими: каква репутация ни създава ползването на определена информационна система; подобрили ли сме процесите приемайки световните практики; по-ефективен ли е персонала и т.н.</w:t>
      </w:r>
    </w:p>
    <w:p w:rsidR="00FA6B54" w:rsidRPr="00A65D2A" w:rsidRDefault="00A65D2A" w:rsidP="00A65D2A">
      <w:pPr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  <w:r w:rsidR="00A4107F">
        <w:rPr>
          <w:rFonts w:cstheme="minorHAnsi"/>
          <w:bCs/>
        </w:rPr>
        <w:t>Казаното до тук, подчертава значението на правилната оценка на стойността за бизнеса на информационните технологии.</w:t>
      </w:r>
      <w:r w:rsidR="00FA6B54" w:rsidRPr="00A65D2A">
        <w:rPr>
          <w:rFonts w:cstheme="minorHAnsi"/>
          <w:bCs/>
        </w:rPr>
        <w:br w:type="page"/>
      </w:r>
    </w:p>
    <w:p w:rsidR="00B6394F" w:rsidRDefault="004F0B3C" w:rsidP="00B94CFD">
      <w:pPr>
        <w:pStyle w:val="ListParagraph"/>
        <w:numPr>
          <w:ilvl w:val="0"/>
          <w:numId w:val="1"/>
        </w:numPr>
        <w:outlineLvl w:val="0"/>
        <w:rPr>
          <w:rFonts w:cstheme="minorHAnsi"/>
          <w:bCs/>
          <w:sz w:val="26"/>
          <w:szCs w:val="26"/>
        </w:rPr>
      </w:pPr>
      <w:bookmarkStart w:id="1" w:name="_Toc315275179"/>
      <w:r w:rsidRPr="004F0B3C">
        <w:rPr>
          <w:rFonts w:cstheme="minorHAnsi"/>
          <w:bCs/>
          <w:sz w:val="26"/>
          <w:szCs w:val="26"/>
        </w:rPr>
        <w:t>Традиционни модели на бюджетиране на капиталовите разходи</w:t>
      </w:r>
      <w:bookmarkEnd w:id="1"/>
    </w:p>
    <w:p w:rsidR="006F43AF" w:rsidRDefault="00A4107F" w:rsidP="00A4107F">
      <w:pPr>
        <w:rPr>
          <w:rFonts w:cstheme="minorHAnsi"/>
          <w:bCs/>
        </w:rPr>
      </w:pPr>
      <w:r w:rsidRPr="00A4107F">
        <w:rPr>
          <w:rFonts w:cstheme="minorHAnsi"/>
          <w:bCs/>
        </w:rPr>
        <w:t>Често компаниите прилагат</w:t>
      </w:r>
      <w:r w:rsidR="006F43AF">
        <w:rPr>
          <w:rFonts w:cstheme="minorHAnsi"/>
          <w:bCs/>
        </w:rPr>
        <w:t>,</w:t>
      </w:r>
      <w:r w:rsidRPr="00A4107F">
        <w:rPr>
          <w:rFonts w:cstheme="minorHAnsi"/>
          <w:bCs/>
        </w:rPr>
        <w:t xml:space="preserve"> като поне един от методите за оценка</w:t>
      </w:r>
      <w:r w:rsidR="006F43AF">
        <w:rPr>
          <w:rFonts w:cstheme="minorHAnsi"/>
          <w:bCs/>
        </w:rPr>
        <w:t>,</w:t>
      </w:r>
      <w:r w:rsidRPr="00A4107F">
        <w:rPr>
          <w:rFonts w:cstheme="minorHAnsi"/>
          <w:bCs/>
        </w:rPr>
        <w:t xml:space="preserve"> традиционните модели </w:t>
      </w:r>
      <w:r w:rsidR="006F43AF">
        <w:rPr>
          <w:rFonts w:cstheme="minorHAnsi"/>
          <w:bCs/>
        </w:rPr>
        <w:t>за бюджетиране на капиталовите разходи. Основните предположения в тези модели са:</w:t>
      </w:r>
    </w:p>
    <w:p w:rsidR="006F43AF" w:rsidRDefault="006F43AF" w:rsidP="006F43AF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Всички разходи и ползи, могат да се измерят стойностно като входящ и изходящ паричен поток</w:t>
      </w:r>
    </w:p>
    <w:p w:rsidR="006F43AF" w:rsidRDefault="006F43AF" w:rsidP="006F43AF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Инвестицията в информационната система е цялостно оценена и представлява пряк изходящ паричен поток</w:t>
      </w:r>
    </w:p>
    <w:p w:rsidR="006F43AF" w:rsidRDefault="006F43AF" w:rsidP="006F43AF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Предполага се че всяка инвестиция води до нови входящи парични потоци, които се нетират с изходящите парични потоци за разходи по системата</w:t>
      </w:r>
    </w:p>
    <w:p w:rsidR="006F43AF" w:rsidRDefault="006F43AF" w:rsidP="006F43AF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 xml:space="preserve">Оценени са аналогично всички алтернативи за инвестиция </w:t>
      </w:r>
    </w:p>
    <w:p w:rsidR="006F43AF" w:rsidRDefault="006F43AF" w:rsidP="006F43AF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Всички потенциални разходи са разпознати</w:t>
      </w:r>
    </w:p>
    <w:p w:rsidR="006F43AF" w:rsidRPr="006F43AF" w:rsidRDefault="006F43AF" w:rsidP="006F43AF">
      <w:pPr>
        <w:pStyle w:val="ListParagraph"/>
        <w:rPr>
          <w:rFonts w:cstheme="minorHAnsi"/>
          <w:bCs/>
        </w:rPr>
      </w:pPr>
    </w:p>
    <w:p w:rsidR="00A4107F" w:rsidRPr="00A4107F" w:rsidRDefault="006F43AF" w:rsidP="00A4107F">
      <w:pPr>
        <w:rPr>
          <w:rFonts w:cstheme="minorHAnsi"/>
          <w:bCs/>
        </w:rPr>
      </w:pPr>
      <w:r>
        <w:rPr>
          <w:rFonts w:cstheme="minorHAnsi"/>
          <w:bCs/>
        </w:rPr>
        <w:t>Широко разпространените финансови модели са:</w:t>
      </w:r>
    </w:p>
    <w:p w:rsidR="001C56AC" w:rsidRDefault="004F0B3C" w:rsidP="004F0B3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Срок на отплата</w:t>
      </w: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F43AF" w:rsidRPr="00044894" w:rsidRDefault="00044894" w:rsidP="006F43AF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Срок на отплата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Инвестиция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Нетен годишен входящ паричен поток</m:t>
              </m:r>
            </m:den>
          </m:f>
        </m:oMath>
      </m:oMathPara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Основната чел на този модел е да измери броя години, за които инвестицията ще се </w:t>
      </w:r>
      <w:proofErr w:type="spellStart"/>
      <w:r>
        <w:rPr>
          <w:rFonts w:cstheme="minorHAnsi"/>
        </w:rPr>
        <w:t>самовъзвърне</w:t>
      </w:r>
      <w:proofErr w:type="spellEnd"/>
      <w:r>
        <w:rPr>
          <w:rFonts w:cstheme="minorHAnsi"/>
        </w:rPr>
        <w:t>. Модела предполага равномерни входящи парични потоци. Недостатък на този модел е, че неотчита стойността на парите във времето.</w:t>
      </w: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C56AC" w:rsidRDefault="004F0B3C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Възвръщаемост на инвестицията</w:t>
      </w:r>
      <w:r w:rsidR="001C56AC" w:rsidRPr="00A4107F">
        <w:rPr>
          <w:rFonts w:cstheme="minorHAnsi"/>
        </w:rPr>
        <w:t xml:space="preserve"> (ROI)</w:t>
      </w: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Средни нетни ползи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Всички ползи</m:t>
              </m:r>
              <m:r>
                <m:rPr>
                  <m:sty m:val="b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Всички разходи</m:t>
              </m:r>
              <m:r>
                <m:rPr>
                  <m:sty m:val="b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Амортизация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Години на полезен живот</m:t>
              </m:r>
            </m:den>
          </m:f>
        </m:oMath>
      </m:oMathPara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ROI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Средни нетни ползи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Инвестиция</m:t>
              </m:r>
            </m:den>
          </m:f>
        </m:oMath>
      </m:oMathPara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ROI</w:t>
      </w:r>
      <w:r>
        <w:rPr>
          <w:rFonts w:cstheme="minorHAnsi"/>
        </w:rPr>
        <w:t xml:space="preserve"> представя нормата на възвръщаемост на инвестицията, като взима предвид и амортизацията. Недостатък на този модел е, че неотчита стойността на парите във времето.</w:t>
      </w: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C56AC" w:rsidRDefault="00044894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Нетна с</w:t>
      </w:r>
      <w:r w:rsidR="004F0B3C" w:rsidRPr="00A4107F">
        <w:rPr>
          <w:rFonts w:cstheme="minorHAnsi"/>
        </w:rPr>
        <w:t>егашна стойност (</w:t>
      </w:r>
      <w:r w:rsidR="004F0B3C" w:rsidRPr="00A4107F">
        <w:rPr>
          <w:rFonts w:cstheme="minorHAnsi"/>
          <w:lang w:val="en-US"/>
        </w:rPr>
        <w:t>NPV</w:t>
      </w:r>
      <w:r w:rsidR="004F0B3C" w:rsidRPr="00A4107F">
        <w:rPr>
          <w:rFonts w:cstheme="minorHAnsi"/>
        </w:rPr>
        <w:t>)</w:t>
      </w:r>
    </w:p>
    <w:p w:rsidR="00044894" w:rsidRDefault="00044894" w:rsidP="0004489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</w:rPr>
      </w:pP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=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Плащане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 xml:space="preserve">* 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16"/>
                  <w:szCs w:val="16"/>
                </w:rPr>
                <m:t>1-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16"/>
                          <w:szCs w:val="16"/>
                        </w:rPr>
                        <m:t>1 +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cstheme="minorHAnsi"/>
                          <w:b/>
                          <w:sz w:val="16"/>
                          <w:szCs w:val="16"/>
                        </w:rPr>
                        <m:t>лихва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16"/>
                      <w:szCs w:val="16"/>
                    </w:rPr>
                    <m:t>-n</m:t>
                  </m:r>
                </m:sup>
              </m:sSup>
            </m:num>
            <m:den>
              <m:r>
                <m:rPr>
                  <m:nor/>
                </m:rPr>
                <w:rPr>
                  <w:rFonts w:ascii="Cambria Math" w:hAnsi="Cambria Math" w:cstheme="minorHAnsi"/>
                  <w:b/>
                  <w:sz w:val="16"/>
                  <w:szCs w:val="16"/>
                </w:rPr>
                <m:t>лихва</m:t>
              </m:r>
            </m:den>
          </m:f>
        </m:oMath>
      </m:oMathPara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Нетна 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=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-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Инвестиция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 xml:space="preserve"> </m:t>
          </m:r>
        </m:oMath>
      </m:oMathPara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Този модел </w:t>
      </w:r>
      <w:proofErr w:type="spellStart"/>
      <w:r>
        <w:rPr>
          <w:rFonts w:cstheme="minorHAnsi"/>
        </w:rPr>
        <w:t>дисконтира</w:t>
      </w:r>
      <w:proofErr w:type="spellEnd"/>
      <w:r>
        <w:rPr>
          <w:rFonts w:cstheme="minorHAnsi"/>
        </w:rPr>
        <w:t xml:space="preserve"> бъдещите входящи парични потоци,</w:t>
      </w:r>
      <w:r w:rsidR="003D3EA1">
        <w:rPr>
          <w:rFonts w:cstheme="minorHAnsi"/>
        </w:rPr>
        <w:t xml:space="preserve"> отчитайки стойността на парите във времето.</w:t>
      </w:r>
    </w:p>
    <w:p w:rsidR="00044894" w:rsidRPr="00044894" w:rsidRDefault="00044894" w:rsidP="0004489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C56AC" w:rsidRDefault="004F0B3C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Съотношение приход/разход</w:t>
      </w: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Съотношение приход/разход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Всички приходи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Всички разходи</m:t>
              </m:r>
            </m:den>
          </m:f>
        </m:oMath>
      </m:oMathPara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Много компании използват това съотношение като основен критерии за сравнение и избор между проекти. Практика е, също така, да се дефинира минимална стойност на коефициента, като праг, под който проектите не се разглеждат.</w:t>
      </w:r>
    </w:p>
    <w:p w:rsidR="003D3EA1" w:rsidRP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C56AC" w:rsidRDefault="004F0B3C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Норма на печалбата</w:t>
      </w: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Норма на печалбата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Сегашна стойност на приходите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Инвестиция</m:t>
              </m:r>
            </m:den>
          </m:f>
        </m:oMath>
      </m:oMathPara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Подобрен модел на 2.4., отчитащ стойността на парите във времето.</w:t>
      </w:r>
    </w:p>
    <w:p w:rsidR="003D3EA1" w:rsidRP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C56AC" w:rsidRPr="003D3EA1" w:rsidRDefault="004F0B3C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4107F">
        <w:rPr>
          <w:rFonts w:cstheme="minorHAnsi"/>
        </w:rPr>
        <w:t>Вътрешна норма на възвръщаемост</w:t>
      </w:r>
      <w:r w:rsidR="001C56AC" w:rsidRPr="00A4107F">
        <w:rPr>
          <w:rFonts w:cstheme="minorHAnsi"/>
        </w:rPr>
        <w:t xml:space="preserve"> (IRR)</w:t>
      </w: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В</w:t>
      </w:r>
      <w:r w:rsidRPr="003D3EA1">
        <w:rPr>
          <w:rFonts w:cstheme="minorHAnsi"/>
        </w:rPr>
        <w:t xml:space="preserve">ътрешната норма на възвръщаемост е онзи </w:t>
      </w:r>
      <w:r>
        <w:rPr>
          <w:rFonts w:cstheme="minorHAnsi"/>
        </w:rPr>
        <w:t xml:space="preserve">норма на </w:t>
      </w:r>
      <w:proofErr w:type="spellStart"/>
      <w:r w:rsidRPr="003D3EA1">
        <w:rPr>
          <w:rFonts w:cstheme="minorHAnsi"/>
        </w:rPr>
        <w:t>дисконт</w:t>
      </w:r>
      <w:r>
        <w:rPr>
          <w:rFonts w:cstheme="minorHAnsi"/>
        </w:rPr>
        <w:t>иране</w:t>
      </w:r>
      <w:proofErr w:type="spellEnd"/>
      <w:r w:rsidRPr="003D3EA1">
        <w:rPr>
          <w:rFonts w:cstheme="minorHAnsi"/>
        </w:rPr>
        <w:t xml:space="preserve">, който удовлетворява изискването, сумата на </w:t>
      </w:r>
      <w:proofErr w:type="spellStart"/>
      <w:r w:rsidRPr="003D3EA1">
        <w:rPr>
          <w:rFonts w:cstheme="minorHAnsi"/>
        </w:rPr>
        <w:t>дисконтирания</w:t>
      </w:r>
      <w:proofErr w:type="spellEnd"/>
      <w:r w:rsidRPr="003D3EA1">
        <w:rPr>
          <w:rFonts w:cstheme="minorHAnsi"/>
        </w:rPr>
        <w:t xml:space="preserve"> </w:t>
      </w:r>
      <w:r>
        <w:rPr>
          <w:rFonts w:cstheme="minorHAnsi"/>
        </w:rPr>
        <w:t>входящ</w:t>
      </w:r>
      <w:r w:rsidRPr="003D3EA1">
        <w:rPr>
          <w:rFonts w:cstheme="minorHAnsi"/>
        </w:rPr>
        <w:t xml:space="preserve"> паричен поток за </w:t>
      </w:r>
      <w:r w:rsidR="00B94CFD">
        <w:rPr>
          <w:rFonts w:cstheme="minorHAnsi"/>
        </w:rPr>
        <w:t xml:space="preserve">целия </w:t>
      </w:r>
      <w:r>
        <w:rPr>
          <w:rFonts w:cstheme="minorHAnsi"/>
        </w:rPr>
        <w:t>полез</w:t>
      </w:r>
      <w:r w:rsidR="00B94CFD">
        <w:rPr>
          <w:rFonts w:cstheme="minorHAnsi"/>
        </w:rPr>
        <w:t>ен</w:t>
      </w:r>
      <w:r w:rsidRPr="003D3EA1">
        <w:rPr>
          <w:rFonts w:cstheme="minorHAnsi"/>
        </w:rPr>
        <w:t xml:space="preserve"> живот на актива </w:t>
      </w:r>
      <w:r w:rsidR="00B94CFD">
        <w:rPr>
          <w:rFonts w:cstheme="minorHAnsi"/>
        </w:rPr>
        <w:t>да е равна на</w:t>
      </w:r>
      <w:r w:rsidRPr="003D3EA1">
        <w:rPr>
          <w:rFonts w:cstheme="minorHAnsi"/>
        </w:rPr>
        <w:t xml:space="preserve"> стойността на инвестицията</w:t>
      </w:r>
      <w:r w:rsidR="00B94CFD">
        <w:rPr>
          <w:rFonts w:cstheme="minorHAnsi"/>
        </w:rPr>
        <w:t>:</w:t>
      </w:r>
    </w:p>
    <w:p w:rsidR="00B94CFD" w:rsidRDefault="00B94CFD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D3EA1" w:rsidRDefault="00B94CFD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-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Инвестиция = 0</m:t>
          </m:r>
        </m:oMath>
      </m:oMathPara>
    </w:p>
    <w:p w:rsidR="003D3EA1" w:rsidRDefault="003D3EA1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94CFD" w:rsidRDefault="00B94CFD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Тя дава оценка при каква минимална норма на възвръщаемост, инвестицията трябва да бъде разглеждана като потенциална.</w:t>
      </w:r>
    </w:p>
    <w:p w:rsidR="00B94CFD" w:rsidRPr="003D3EA1" w:rsidRDefault="00B94CFD" w:rsidP="003D3EA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F0B3C" w:rsidRDefault="004F0B3C" w:rsidP="001C56A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4107F">
        <w:rPr>
          <w:rFonts w:cstheme="minorHAnsi"/>
          <w:bCs/>
        </w:rPr>
        <w:t>Ограничения на финансовите модели</w:t>
      </w:r>
    </w:p>
    <w:p w:rsidR="00B94CFD" w:rsidRPr="00B94CFD" w:rsidRDefault="00B94CFD" w:rsidP="00B94CF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B94CFD" w:rsidRDefault="00B94CFD">
      <w:pPr>
        <w:rPr>
          <w:rFonts w:cstheme="minorHAnsi"/>
          <w:bCs/>
        </w:rPr>
      </w:pPr>
      <w:r>
        <w:rPr>
          <w:rFonts w:cstheme="minorHAnsi"/>
          <w:bCs/>
        </w:rPr>
        <w:t>Финансовите модели игнорират множество, добре познати от практиката, показатели като:</w:t>
      </w:r>
    </w:p>
    <w:p w:rsidR="00B94CFD" w:rsidRDefault="00B94CFD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Рискове от неточно (оптимистично, песимистично) оценяване на разходите</w:t>
      </w:r>
    </w:p>
    <w:p w:rsidR="00B94CFD" w:rsidRDefault="00B94CFD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Не отразяват всички ползи. Неизмеримите ползи липсват в тези модели</w:t>
      </w:r>
    </w:p>
    <w:p w:rsidR="00B94CFD" w:rsidRDefault="00B94CFD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Не отразяват придобитите знания и променени процеси</w:t>
      </w:r>
    </w:p>
    <w:p w:rsidR="00B94CFD" w:rsidRDefault="00B94CFD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Не отразява удовлетворението на клиентите от промененото качество на услугата</w:t>
      </w:r>
    </w:p>
    <w:p w:rsidR="00B94CFD" w:rsidRDefault="00B94CFD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Др.</w:t>
      </w:r>
    </w:p>
    <w:p w:rsidR="00B94CFD" w:rsidRDefault="00B94CFD" w:rsidP="00B94CFD">
      <w:pPr>
        <w:rPr>
          <w:rFonts w:cstheme="minorHAnsi"/>
          <w:bCs/>
        </w:rPr>
      </w:pPr>
      <w:r>
        <w:rPr>
          <w:rFonts w:cstheme="minorHAnsi"/>
          <w:bCs/>
        </w:rPr>
        <w:t>Фокусирането на организациите върху чисто финансовите показатели лишава организациите, от възможността да оценят всички бизнес ползи от една нова информационна система. Автоматизацията на процесите позволява на сътрудниците в една организация да преминат към качествено ново ниво на мислене: от оператори с данни, да станат анализатори, от анализатори да станат стратези и т.н.</w:t>
      </w:r>
    </w:p>
    <w:p w:rsidR="00B94CFD" w:rsidRPr="00B94CFD" w:rsidRDefault="00B94CFD" w:rsidP="00B94CFD">
      <w:pPr>
        <w:rPr>
          <w:rFonts w:cstheme="minorHAnsi"/>
          <w:bCs/>
        </w:rPr>
      </w:pPr>
      <w:r>
        <w:rPr>
          <w:rFonts w:cstheme="minorHAnsi"/>
          <w:bCs/>
        </w:rPr>
        <w:t>За по-качествен анализ на стойността е необходимо да се събере колкото се може повече и по достоверна информация за нематериалните ползи от внедряването на нова информационна технология.</w:t>
      </w:r>
      <w:r w:rsidR="00C14FDB">
        <w:rPr>
          <w:rFonts w:cstheme="minorHAnsi"/>
          <w:bCs/>
        </w:rPr>
        <w:t xml:space="preserve"> Липсата на такава информация, или нейната неточност, могат да предопределят успеха на всяко едно инвестиционно решение.</w:t>
      </w:r>
    </w:p>
    <w:p w:rsidR="004F0B3C" w:rsidRPr="00B94CFD" w:rsidRDefault="004F0B3C" w:rsidP="00B94CFD">
      <w:pPr>
        <w:pStyle w:val="ListParagraph"/>
        <w:numPr>
          <w:ilvl w:val="0"/>
          <w:numId w:val="2"/>
        </w:numPr>
        <w:rPr>
          <w:rFonts w:cstheme="minorHAnsi"/>
          <w:bCs/>
        </w:rPr>
      </w:pPr>
      <w:r w:rsidRPr="00B94CFD">
        <w:rPr>
          <w:rFonts w:cstheme="minorHAnsi"/>
          <w:bCs/>
        </w:rPr>
        <w:br w:type="page"/>
      </w:r>
    </w:p>
    <w:p w:rsidR="001C56AC" w:rsidRPr="004F0B3C" w:rsidRDefault="00FA6B54" w:rsidP="00B94C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  <w:sz w:val="26"/>
          <w:szCs w:val="26"/>
        </w:rPr>
      </w:pPr>
      <w:bookmarkStart w:id="2" w:name="_Toc315275180"/>
      <w:r>
        <w:rPr>
          <w:rFonts w:cstheme="minorHAnsi"/>
          <w:bCs/>
          <w:sz w:val="26"/>
          <w:szCs w:val="26"/>
        </w:rPr>
        <w:t xml:space="preserve">Пример: Внедряване на </w:t>
      </w:r>
      <w:r w:rsidR="00AC2A64">
        <w:rPr>
          <w:rFonts w:cstheme="minorHAnsi"/>
          <w:bCs/>
          <w:sz w:val="26"/>
          <w:szCs w:val="26"/>
        </w:rPr>
        <w:t>с</w:t>
      </w:r>
      <w:r>
        <w:rPr>
          <w:rFonts w:cstheme="minorHAnsi"/>
          <w:bCs/>
          <w:sz w:val="26"/>
          <w:szCs w:val="26"/>
        </w:rPr>
        <w:t>клад от данни в Банка Х</w:t>
      </w:r>
      <w:bookmarkEnd w:id="2"/>
    </w:p>
    <w:p w:rsidR="003366E3" w:rsidRDefault="003366E3">
      <w:pPr>
        <w:rPr>
          <w:rFonts w:cstheme="minorHAnsi"/>
          <w:bCs/>
          <w:sz w:val="26"/>
          <w:szCs w:val="26"/>
        </w:rPr>
      </w:pPr>
    </w:p>
    <w:p w:rsidR="00AC2A64" w:rsidRDefault="00AC2A64">
      <w:pPr>
        <w:rPr>
          <w:rFonts w:cstheme="minorHAnsi"/>
          <w:bCs/>
        </w:rPr>
      </w:pPr>
      <w:r>
        <w:rPr>
          <w:rFonts w:cstheme="minorHAnsi"/>
          <w:bCs/>
        </w:rPr>
        <w:t>Огромните обеми от данни, с които банките боравят, и големите изисквания за отчетност, от страна на регулаторните органи, налагат популярността на складовете от данни в банковия сектор. Исторически, в много банки, отделните дирекции си изграждат бази от данни, съхраняващи информация, обслужваща нуждите на конкретната дирекция. Това води до редица проблеми като:</w:t>
      </w:r>
    </w:p>
    <w:p w:rsidR="00AC2A64" w:rsidRDefault="00AC2A64" w:rsidP="00AC2A64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Неконсистентност на данните – различните дирекции отчитат различни стойности за едни и същи показатели</w:t>
      </w:r>
    </w:p>
    <w:p w:rsidR="00AC2A64" w:rsidRDefault="00AC2A64" w:rsidP="00AC2A64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 xml:space="preserve">Трудна взаимовръзка между данните на отделните дирекции – тъй като са в отделни системи се налага извличане и зареждане на желаните данни, което прави процеса рисков и времеемък </w:t>
      </w:r>
    </w:p>
    <w:p w:rsidR="00AC2A64" w:rsidRDefault="00AC2A64" w:rsidP="00AC2A64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Дублиране на процесите по извличане и зареждане на данните от основните системи</w:t>
      </w:r>
    </w:p>
    <w:p w:rsidR="00AC2A64" w:rsidRDefault="00AC2A64" w:rsidP="00AC2A64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Дублиране на информацията, което води до по-големи разходи за тяхното съхраняване</w:t>
      </w:r>
    </w:p>
    <w:p w:rsidR="00AC2A64" w:rsidRDefault="00AC2A64" w:rsidP="00AC2A64">
      <w:pPr>
        <w:pStyle w:val="ListParagraph"/>
        <w:numPr>
          <w:ilvl w:val="0"/>
          <w:numId w:val="2"/>
        </w:numPr>
        <w:rPr>
          <w:rFonts w:cstheme="minorHAnsi"/>
          <w:bCs/>
        </w:rPr>
      </w:pPr>
      <w:r>
        <w:rPr>
          <w:rFonts w:cstheme="minorHAnsi"/>
          <w:bCs/>
        </w:rPr>
        <w:t>Други</w:t>
      </w:r>
    </w:p>
    <w:p w:rsidR="00AC2A64" w:rsidRDefault="00AC2A64" w:rsidP="00AC2A64">
      <w:pPr>
        <w:rPr>
          <w:rFonts w:cstheme="minorHAnsi"/>
          <w:bCs/>
        </w:rPr>
      </w:pPr>
      <w:r>
        <w:rPr>
          <w:rFonts w:cstheme="minorHAnsi"/>
          <w:bCs/>
        </w:rPr>
        <w:t>Решението на горните проблеми е изграждането на единен склад от данни с профилирани изгледи за всяка дирекция. Проекта по изграждане на склад от данни се счита за свързан със значима финансова инвестиция, изискваща участието на множество вътрешни ресурси и голяма продължителност във времето (на практика никога не престават дейностите по склада от данни, тъй като след приключването на всеки един етап (от 6 месеца до две години) бизнеса и технологиите са се променили и налагат нови изисквания)).</w:t>
      </w:r>
    </w:p>
    <w:p w:rsidR="00AC2A64" w:rsidRDefault="00AC2A64" w:rsidP="00AC2A64">
      <w:pPr>
        <w:rPr>
          <w:rFonts w:cstheme="minorHAnsi"/>
          <w:bCs/>
        </w:rPr>
      </w:pPr>
      <w:r>
        <w:rPr>
          <w:rFonts w:cstheme="minorHAnsi"/>
          <w:bCs/>
        </w:rPr>
        <w:t>Изграждането на склад от данни може да се разбие на следните инвестиционни решения:</w:t>
      </w:r>
    </w:p>
    <w:p w:rsidR="00AC2A64" w:rsidRPr="00AC2A64" w:rsidRDefault="00AC2A64" w:rsidP="00AC2A64">
      <w:pPr>
        <w:pStyle w:val="ListParagraph"/>
        <w:numPr>
          <w:ilvl w:val="0"/>
          <w:numId w:val="3"/>
        </w:numPr>
        <w:rPr>
          <w:rFonts w:cstheme="minorHAnsi"/>
          <w:bCs/>
        </w:rPr>
      </w:pPr>
      <w:r>
        <w:rPr>
          <w:rFonts w:cstheme="minorHAnsi"/>
          <w:bCs/>
        </w:rPr>
        <w:t>Избор на база данни (</w:t>
      </w:r>
      <w:r>
        <w:rPr>
          <w:rFonts w:cstheme="minorHAnsi"/>
          <w:bCs/>
          <w:lang w:val="en-US"/>
        </w:rPr>
        <w:t>Oracle, MS SQL, Sybase, etc.</w:t>
      </w:r>
      <w:r>
        <w:rPr>
          <w:rFonts w:cstheme="minorHAnsi"/>
          <w:bCs/>
        </w:rPr>
        <w:t>)</w:t>
      </w:r>
    </w:p>
    <w:p w:rsidR="00AC2A64" w:rsidRPr="00AC2A64" w:rsidRDefault="00AC2A64" w:rsidP="00CD0922">
      <w:pPr>
        <w:pStyle w:val="ListParagraph"/>
        <w:numPr>
          <w:ilvl w:val="0"/>
          <w:numId w:val="3"/>
        </w:numPr>
        <w:rPr>
          <w:rFonts w:cstheme="minorHAnsi"/>
          <w:bCs/>
        </w:rPr>
      </w:pPr>
      <w:r>
        <w:rPr>
          <w:rFonts w:cstheme="minorHAnsi"/>
          <w:bCs/>
        </w:rPr>
        <w:t xml:space="preserve">Избор на </w:t>
      </w:r>
      <w:r>
        <w:rPr>
          <w:rFonts w:cstheme="minorHAnsi"/>
          <w:bCs/>
          <w:lang w:val="en-US"/>
        </w:rPr>
        <w:t xml:space="preserve">ETL </w:t>
      </w:r>
      <w:r>
        <w:rPr>
          <w:rFonts w:cstheme="minorHAnsi"/>
          <w:bCs/>
        </w:rPr>
        <w:t>софтуер (</w:t>
      </w:r>
      <w:proofErr w:type="spellStart"/>
      <w:r>
        <w:rPr>
          <w:rFonts w:cstheme="minorHAnsi"/>
          <w:bCs/>
          <w:lang w:val="en-US"/>
        </w:rPr>
        <w:t>AbInitio</w:t>
      </w:r>
      <w:proofErr w:type="spellEnd"/>
      <w:r>
        <w:rPr>
          <w:rFonts w:cstheme="minorHAnsi"/>
          <w:bCs/>
          <w:lang w:val="en-US"/>
        </w:rPr>
        <w:t xml:space="preserve">, </w:t>
      </w:r>
      <w:proofErr w:type="spellStart"/>
      <w:r>
        <w:rPr>
          <w:rFonts w:cstheme="minorHAnsi"/>
          <w:bCs/>
          <w:lang w:val="en-US"/>
        </w:rPr>
        <w:t>Informatica</w:t>
      </w:r>
      <w:proofErr w:type="spellEnd"/>
      <w:r>
        <w:rPr>
          <w:rFonts w:cstheme="minorHAnsi"/>
          <w:bCs/>
          <w:lang w:val="en-US"/>
        </w:rPr>
        <w:t>,</w:t>
      </w:r>
      <w:r w:rsidR="00CD0922">
        <w:rPr>
          <w:rFonts w:cstheme="minorHAnsi"/>
          <w:bCs/>
        </w:rPr>
        <w:t xml:space="preserve"> </w:t>
      </w:r>
      <w:proofErr w:type="spellStart"/>
      <w:r w:rsidR="00CD0922" w:rsidRPr="00CD0922">
        <w:rPr>
          <w:rFonts w:cstheme="minorHAnsi"/>
          <w:bCs/>
          <w:lang w:val="en-US"/>
        </w:rPr>
        <w:t>DataStage</w:t>
      </w:r>
      <w:proofErr w:type="spellEnd"/>
      <w:r w:rsidR="00CD0922">
        <w:rPr>
          <w:rFonts w:cstheme="minorHAnsi"/>
          <w:bCs/>
          <w:lang w:val="en-US"/>
        </w:rPr>
        <w:t>,</w:t>
      </w:r>
      <w:r>
        <w:rPr>
          <w:rFonts w:cstheme="minorHAnsi"/>
          <w:bCs/>
          <w:lang w:val="en-US"/>
        </w:rPr>
        <w:t xml:space="preserve"> etc.</w:t>
      </w:r>
      <w:r>
        <w:rPr>
          <w:rFonts w:cstheme="minorHAnsi"/>
          <w:bCs/>
        </w:rPr>
        <w:t>)</w:t>
      </w:r>
    </w:p>
    <w:p w:rsidR="00CD0922" w:rsidRDefault="00CD0922" w:rsidP="00AC2A64">
      <w:pPr>
        <w:pStyle w:val="ListParagraph"/>
        <w:numPr>
          <w:ilvl w:val="0"/>
          <w:numId w:val="3"/>
        </w:numPr>
        <w:rPr>
          <w:rFonts w:cstheme="minorHAnsi"/>
          <w:bCs/>
        </w:rPr>
      </w:pPr>
      <w:r>
        <w:rPr>
          <w:rFonts w:cstheme="minorHAnsi"/>
          <w:bCs/>
        </w:rPr>
        <w:t xml:space="preserve">Решение относно обхвата – кои системи да се включат и кои данни от тях. Каква да е степента на </w:t>
      </w:r>
      <w:proofErr w:type="spellStart"/>
      <w:r>
        <w:rPr>
          <w:rFonts w:cstheme="minorHAnsi"/>
          <w:bCs/>
        </w:rPr>
        <w:t>грануларност</w:t>
      </w:r>
      <w:proofErr w:type="spellEnd"/>
      <w:r>
        <w:rPr>
          <w:rFonts w:cstheme="minorHAnsi"/>
          <w:bCs/>
        </w:rPr>
        <w:t xml:space="preserve"> на данните. Кои дирекции ще могат да ползват системата (брой потребители). Какви са нуждите на всяка дирекция. </w:t>
      </w:r>
    </w:p>
    <w:p w:rsidR="00AC2A64" w:rsidRPr="00AC2A64" w:rsidRDefault="00AC2A64" w:rsidP="00AC2A64">
      <w:pPr>
        <w:pStyle w:val="ListParagraph"/>
        <w:numPr>
          <w:ilvl w:val="0"/>
          <w:numId w:val="3"/>
        </w:numPr>
        <w:rPr>
          <w:rFonts w:cstheme="minorHAnsi"/>
          <w:bCs/>
        </w:rPr>
      </w:pPr>
      <w:r>
        <w:rPr>
          <w:rFonts w:cstheme="minorHAnsi"/>
          <w:bCs/>
        </w:rPr>
        <w:t xml:space="preserve">Избор на </w:t>
      </w:r>
      <w:proofErr w:type="spellStart"/>
      <w:r>
        <w:rPr>
          <w:rFonts w:cstheme="minorHAnsi"/>
          <w:bCs/>
        </w:rPr>
        <w:t>внедрител</w:t>
      </w:r>
      <w:proofErr w:type="spellEnd"/>
      <w:r>
        <w:rPr>
          <w:rFonts w:cstheme="minorHAnsi"/>
          <w:bCs/>
        </w:rPr>
        <w:t xml:space="preserve"> – въпреки че не е изключено да се разработи с вътрешни ресурси, практиката показва, че дейността е и</w:t>
      </w:r>
      <w:r w:rsidR="00CD0922">
        <w:rPr>
          <w:rFonts w:cstheme="minorHAnsi"/>
          <w:bCs/>
        </w:rPr>
        <w:t>з</w:t>
      </w:r>
      <w:r>
        <w:rPr>
          <w:rFonts w:cstheme="minorHAnsi"/>
          <w:bCs/>
        </w:rPr>
        <w:t>клю</w:t>
      </w:r>
      <w:r w:rsidR="00CD0922">
        <w:rPr>
          <w:rFonts w:cstheme="minorHAnsi"/>
          <w:bCs/>
        </w:rPr>
        <w:t>чи</w:t>
      </w:r>
      <w:r>
        <w:rPr>
          <w:rFonts w:cstheme="minorHAnsi"/>
          <w:bCs/>
        </w:rPr>
        <w:t>телн</w:t>
      </w:r>
      <w:r w:rsidR="00CD0922">
        <w:rPr>
          <w:rFonts w:cstheme="minorHAnsi"/>
          <w:bCs/>
        </w:rPr>
        <w:t>о сложна и изисква тясно профилирани опитни експерти, които да гарантират спазването на стандартите при внедряване на такова решение.</w:t>
      </w:r>
    </w:p>
    <w:p w:rsidR="00AC2A64" w:rsidRDefault="00CD0922" w:rsidP="00AC2A64">
      <w:pPr>
        <w:rPr>
          <w:rFonts w:cstheme="minorHAnsi"/>
          <w:bCs/>
        </w:rPr>
      </w:pPr>
      <w:r>
        <w:rPr>
          <w:rFonts w:cstheme="minorHAnsi"/>
          <w:bCs/>
        </w:rPr>
        <w:t>Банка Х използва 3 основни банкови системи: основна (</w:t>
      </w:r>
      <w:r>
        <w:rPr>
          <w:rFonts w:cstheme="minorHAnsi"/>
          <w:bCs/>
          <w:lang w:val="en-US"/>
        </w:rPr>
        <w:t>CS</w:t>
      </w:r>
      <w:r>
        <w:rPr>
          <w:rFonts w:cstheme="minorHAnsi"/>
          <w:bCs/>
        </w:rPr>
        <w:t>), за сделки с финансови инструменти</w:t>
      </w:r>
      <w:r>
        <w:rPr>
          <w:rFonts w:cstheme="minorHAnsi"/>
          <w:bCs/>
          <w:lang w:val="en-US"/>
        </w:rPr>
        <w:t xml:space="preserve"> (FC) и </w:t>
      </w:r>
      <w:r w:rsidRPr="00CD0922">
        <w:rPr>
          <w:rFonts w:cstheme="minorHAnsi"/>
          <w:bCs/>
        </w:rPr>
        <w:t>за кредитни</w:t>
      </w:r>
      <w:r>
        <w:rPr>
          <w:rFonts w:cstheme="minorHAnsi"/>
          <w:bCs/>
        </w:rPr>
        <w:t xml:space="preserve"> карти. Всички те се </w:t>
      </w:r>
      <w:proofErr w:type="spellStart"/>
      <w:r>
        <w:rPr>
          <w:rFonts w:cstheme="minorHAnsi"/>
          <w:bCs/>
        </w:rPr>
        <w:t>агрегират</w:t>
      </w:r>
      <w:proofErr w:type="spellEnd"/>
      <w:r>
        <w:rPr>
          <w:rFonts w:cstheme="minorHAnsi"/>
          <w:bCs/>
        </w:rPr>
        <w:t xml:space="preserve"> и зареждат в </w:t>
      </w:r>
      <w:r>
        <w:rPr>
          <w:rFonts w:cstheme="minorHAnsi"/>
          <w:bCs/>
          <w:lang w:val="en-US"/>
        </w:rPr>
        <w:t xml:space="preserve">ERP </w:t>
      </w:r>
      <w:r>
        <w:rPr>
          <w:rFonts w:cstheme="minorHAnsi"/>
          <w:bCs/>
        </w:rPr>
        <w:t>системата на дневна база. Информация от всички тези системи трябва да бъде налична в склада от данни, за да може банката да изготвя автоматизирано всички БНБ отчети, както и отчетите към компанията майка.</w:t>
      </w:r>
    </w:p>
    <w:p w:rsidR="00CD0922" w:rsidRDefault="00CD0922">
      <w:pPr>
        <w:rPr>
          <w:rFonts w:cstheme="minorHAnsi"/>
          <w:bCs/>
        </w:rPr>
      </w:pPr>
      <w:r>
        <w:rPr>
          <w:rFonts w:cstheme="minorHAnsi"/>
          <w:bCs/>
        </w:rPr>
        <w:t xml:space="preserve">Около 100 човека персонал са ангажирани текущо с изготвянето на всички тези отчети, генериращи около 3 000 000 лева разход (преки и непреки) годишно. Очакванията са, че след внедряването на склада от данни, този персонал ще бъде сведен до 40, с разход от 1 500 000 годишно (средния разход се качва поради по-високата </w:t>
      </w:r>
      <w:proofErr w:type="spellStart"/>
      <w:r>
        <w:rPr>
          <w:rFonts w:cstheme="minorHAnsi"/>
          <w:bCs/>
        </w:rPr>
        <w:t>клалификация</w:t>
      </w:r>
      <w:proofErr w:type="spellEnd"/>
      <w:r>
        <w:rPr>
          <w:rFonts w:cstheme="minorHAnsi"/>
          <w:bCs/>
        </w:rPr>
        <w:t>). Предположенията и калкулациите са направени на база 5 години полезен живот на инвестицията.</w:t>
      </w:r>
    </w:p>
    <w:p w:rsidR="00CD0922" w:rsidRDefault="00CD0922">
      <w:pPr>
        <w:rPr>
          <w:rFonts w:cstheme="minorHAnsi"/>
          <w:bCs/>
        </w:rPr>
      </w:pPr>
      <w:r>
        <w:rPr>
          <w:rFonts w:cstheme="minorHAnsi"/>
          <w:bCs/>
        </w:rPr>
        <w:t xml:space="preserve">За простота приемаме, че дохода на персонала се коригира с процента на инфлация; че полезния живот на системата започва след приключване на внедряването; персоналът е оптимизиран </w:t>
      </w:r>
      <w:r w:rsidR="000E5E09">
        <w:rPr>
          <w:rFonts w:cstheme="minorHAnsi"/>
          <w:bCs/>
        </w:rPr>
        <w:t>точно в деня на внедряването; стойността на проекта е 4 000 </w:t>
      </w:r>
      <w:proofErr w:type="spellStart"/>
      <w:r w:rsidR="000E5E09">
        <w:rPr>
          <w:rFonts w:cstheme="minorHAnsi"/>
          <w:bCs/>
        </w:rPr>
        <w:t>000</w:t>
      </w:r>
      <w:proofErr w:type="spellEnd"/>
      <w:r w:rsidR="000E5E09">
        <w:rPr>
          <w:rFonts w:cstheme="minorHAnsi"/>
          <w:bCs/>
        </w:rPr>
        <w:t xml:space="preserve"> лева.</w:t>
      </w:r>
    </w:p>
    <w:p w:rsidR="000E5E09" w:rsidRDefault="00CD0922">
      <w:pPr>
        <w:rPr>
          <w:rFonts w:cstheme="minorHAnsi"/>
          <w:bCs/>
        </w:rPr>
      </w:pPr>
      <w:r>
        <w:rPr>
          <w:rFonts w:cstheme="minorHAnsi"/>
          <w:bCs/>
        </w:rPr>
        <w:t>При тези предположения съгласно горните формули имаме:</w:t>
      </w:r>
    </w:p>
    <w:p w:rsidR="000E5E09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Срок на отплата</w:t>
      </w: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Срок на отплата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4 000 000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1 500 000</m:t>
              </m:r>
            </m:den>
          </m:f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=2 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3</m:t>
              </m:r>
            </m:den>
          </m:f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години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Възвръщаемост на инвестицията (ROI)</w:t>
      </w: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Средни нетни ползи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7 500 000</m:t>
              </m:r>
              <m:r>
                <m:rPr>
                  <m:sty m:val="b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4 000 000</m:t>
              </m:r>
              <m:r>
                <m:rPr>
                  <m:sty m:val="b"/>
                </m:rPr>
                <w:rPr>
                  <w:rFonts w:ascii="Cambria Math" w:hAnsi="Cambria Math"/>
                  <w:sz w:val="16"/>
                  <w:szCs w:val="16"/>
                  <w:shd w:val="clear" w:color="auto" w:fill="FFFFFF"/>
                </w:rPr>
                <m:t>-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800 000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>=540 000</m:t>
          </m:r>
        </m:oMath>
      </m:oMathPara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ROI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540 000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4 000 000</m:t>
              </m:r>
            </m:den>
          </m:f>
          <m:r>
            <m:rPr>
              <m:sty m:val="bi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>=13.5/100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Нетна с</w:t>
      </w:r>
      <w:r w:rsidRPr="00A4107F">
        <w:rPr>
          <w:rFonts w:cstheme="minorHAnsi"/>
        </w:rPr>
        <w:t>егашна стойност (</w:t>
      </w:r>
      <w:r w:rsidRPr="00A4107F">
        <w:rPr>
          <w:rFonts w:cstheme="minorHAnsi"/>
          <w:lang w:val="en-US"/>
        </w:rPr>
        <w:t>NPV</w:t>
      </w:r>
      <w:r w:rsidRPr="00A4107F">
        <w:rPr>
          <w:rFonts w:cstheme="minorHAnsi"/>
        </w:rPr>
        <w:t>)</w:t>
      </w:r>
    </w:p>
    <w:p w:rsidR="000E5E09" w:rsidRDefault="000E5E09" w:rsidP="000E5E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=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1 500 000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 xml:space="preserve">* 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16"/>
                  <w:szCs w:val="16"/>
                </w:rPr>
                <m:t>1-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16"/>
                          <w:szCs w:val="16"/>
                        </w:rPr>
                        <m:t>1 +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cstheme="minorHAnsi"/>
                          <w:b/>
                          <w:sz w:val="16"/>
                          <w:szCs w:val="16"/>
                        </w:rPr>
                        <m:t>5/100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16"/>
                      <w:szCs w:val="16"/>
                    </w:rPr>
                    <m:t>-5</m:t>
                  </m:r>
                </m:sup>
              </m:sSup>
            </m:num>
            <m:den>
              <m:r>
                <m:rPr>
                  <m:nor/>
                </m:rPr>
                <w:rPr>
                  <w:rFonts w:ascii="Cambria Math" w:hAnsi="Cambria Math" w:cstheme="minorHAnsi"/>
                  <w:b/>
                  <w:sz w:val="16"/>
                  <w:szCs w:val="16"/>
                </w:rPr>
                <m:t>5/100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= 6 494 215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Нетна 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=6 494 215-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4 000 000 = 2 494 215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 xml:space="preserve"> 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044894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Съотношение приход/разход</w:t>
      </w: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Съотношение приход/разход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7 500 000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4 000 000</m:t>
              </m:r>
            </m:den>
          </m:f>
          <m:r>
            <m:rPr>
              <m:sty m:val="bi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>=1.875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3D3EA1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4107F">
        <w:rPr>
          <w:rFonts w:cstheme="minorHAnsi"/>
        </w:rPr>
        <w:t>Норма на печалбата</w:t>
      </w: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/>
              <w:b/>
              <w:bCs/>
              <w:sz w:val="16"/>
              <w:szCs w:val="16"/>
              <w:shd w:val="clear" w:color="auto" w:fill="FFFFFF"/>
            </w:rPr>
            <m:t>Норма на печалбата</m:t>
          </m:r>
          <m:r>
            <m:rPr>
              <m:sty m:val="b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16"/>
                  <w:szCs w:val="16"/>
                </w:rPr>
                <m:t>6 494 215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b/>
                  <w:bCs/>
                  <w:sz w:val="16"/>
                  <w:szCs w:val="16"/>
                  <w:shd w:val="clear" w:color="auto" w:fill="FFFFFF"/>
                </w:rPr>
                <m:t>4 000 000</m:t>
              </m:r>
            </m:den>
          </m:f>
          <m:r>
            <m:rPr>
              <m:sty m:val="bi"/>
            </m:rPr>
            <w:rPr>
              <w:rFonts w:ascii="Cambria Math" w:hAnsi="Cambria Math"/>
              <w:sz w:val="16"/>
              <w:szCs w:val="16"/>
              <w:shd w:val="clear" w:color="auto" w:fill="FFFFFF"/>
            </w:rPr>
            <m:t>=1.62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3D3EA1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Pr="003D3EA1" w:rsidRDefault="000E5E09" w:rsidP="000E5E0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A4107F">
        <w:rPr>
          <w:rFonts w:cstheme="minorHAnsi"/>
        </w:rPr>
        <w:t>Вътрешна норма на възвръщаемост (IRR)</w:t>
      </w: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Сегашна стойност</m:t>
          </m:r>
          <m:r>
            <m:rPr>
              <m:sty m:val="bi"/>
            </m:rPr>
            <w:rPr>
              <w:rFonts w:ascii="Cambria Math" w:hAnsi="Cambria Math" w:cstheme="minorHAnsi"/>
              <w:sz w:val="16"/>
              <w:szCs w:val="16"/>
            </w:rPr>
            <m:t>-</m:t>
          </m:r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Инвестиция = 0</m:t>
          </m:r>
        </m:oMath>
      </m:oMathPara>
    </w:p>
    <w:p w:rsidR="000E5E09" w:rsidRDefault="000E5E09" w:rsidP="000E5E0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F0B3C" w:rsidRPr="00AC2A64" w:rsidRDefault="000E5E09">
      <w:pPr>
        <w:rPr>
          <w:rFonts w:cstheme="minorHAnsi"/>
          <w:bCs/>
        </w:rPr>
      </w:pPr>
      <m:oMathPara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w:br/>
          </m:r>
        </m:oMath>
        <m:oMath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 xml:space="preserve">Сегашна стойност = 4 000 </m:t>
          </m:r>
          <w:proofErr w:type="spellStart"/>
          <m:r>
            <m:rPr>
              <m:nor/>
            </m:rPr>
            <w:rPr>
              <w:rFonts w:ascii="Cambria Math" w:hAnsi="Cambria Math" w:cstheme="minorHAnsi"/>
              <w:b/>
              <w:sz w:val="16"/>
              <w:szCs w:val="16"/>
            </w:rPr>
            <m:t>000</m:t>
          </m:r>
        </m:oMath>
      </m:oMathPara>
      <w:proofErr w:type="spellEnd"/>
    </w:p>
    <w:p w:rsidR="000E5E09" w:rsidRPr="000E5E09" w:rsidRDefault="000E5E09">
      <w:pPr>
        <w:rPr>
          <w:rFonts w:cstheme="minorHAnsi"/>
          <w:bCs/>
        </w:rPr>
      </w:pPr>
      <w:r>
        <w:rPr>
          <w:rFonts w:cstheme="minorHAnsi"/>
          <w:bCs/>
        </w:rPr>
        <w:t>С</w:t>
      </w:r>
      <w:r w:rsidRPr="000E5E09">
        <w:rPr>
          <w:rFonts w:cstheme="minorHAnsi"/>
          <w:bCs/>
        </w:rPr>
        <w:t>тойност</w:t>
      </w:r>
      <w:r>
        <w:rPr>
          <w:rFonts w:cstheme="minorHAnsi"/>
          <w:bCs/>
        </w:rPr>
        <w:t xml:space="preserve">та на </w:t>
      </w:r>
      <w:proofErr w:type="spellStart"/>
      <w:r>
        <w:rPr>
          <w:rFonts w:cstheme="minorHAnsi"/>
          <w:bCs/>
        </w:rPr>
        <w:t>дискотовия</w:t>
      </w:r>
      <w:proofErr w:type="spellEnd"/>
      <w:r>
        <w:rPr>
          <w:rFonts w:cstheme="minorHAnsi"/>
          <w:bCs/>
        </w:rPr>
        <w:t xml:space="preserve"> фактор</w:t>
      </w:r>
      <w:r w:rsidRPr="000E5E09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при нашия сценарии (разход 4 милиона и пет години приход от милион и половина) е </w:t>
      </w:r>
      <w:r>
        <w:rPr>
          <w:rFonts w:cstheme="minorHAnsi"/>
          <w:bCs/>
          <w:lang w:val="en-US"/>
        </w:rPr>
        <w:t>R=</w:t>
      </w:r>
      <w:r>
        <w:rPr>
          <w:rFonts w:cstheme="minorHAnsi"/>
          <w:bCs/>
        </w:rPr>
        <w:t>25%.</w:t>
      </w:r>
      <w:r w:rsidRPr="000E5E09">
        <w:rPr>
          <w:rFonts w:cstheme="minorHAnsi"/>
          <w:bCs/>
        </w:rPr>
        <w:br w:type="page"/>
      </w:r>
    </w:p>
    <w:p w:rsidR="001C56AC" w:rsidRPr="008E0199" w:rsidRDefault="00FA6B54" w:rsidP="00B94C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  <w:sz w:val="26"/>
          <w:szCs w:val="26"/>
          <w:lang w:val="en-US"/>
        </w:rPr>
      </w:pPr>
      <w:bookmarkStart w:id="3" w:name="_Toc315275181"/>
      <w:r>
        <w:rPr>
          <w:rFonts w:cstheme="minorHAnsi"/>
          <w:bCs/>
          <w:sz w:val="26"/>
          <w:szCs w:val="26"/>
        </w:rPr>
        <w:t>Стратегически аспекти и решения</w:t>
      </w:r>
      <w:bookmarkEnd w:id="3"/>
    </w:p>
    <w:p w:rsidR="008E0199" w:rsidRPr="009C3561" w:rsidRDefault="008E0199" w:rsidP="008E0199">
      <w:pPr>
        <w:pStyle w:val="ListParagraph"/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  <w:sz w:val="26"/>
          <w:szCs w:val="26"/>
          <w:lang w:val="en-US"/>
        </w:rPr>
      </w:pPr>
    </w:p>
    <w:p w:rsidR="009C3561" w:rsidRDefault="009C3561" w:rsidP="00C325BC">
      <w:pPr>
        <w:rPr>
          <w:rFonts w:cstheme="minorHAnsi"/>
          <w:bCs/>
        </w:rPr>
      </w:pPr>
      <w:r w:rsidRPr="009C3561">
        <w:rPr>
          <w:rFonts w:cstheme="minorHAnsi"/>
          <w:bCs/>
        </w:rPr>
        <w:t xml:space="preserve">Всеки един проект трябва да бъде </w:t>
      </w:r>
      <w:r>
        <w:rPr>
          <w:rFonts w:cstheme="minorHAnsi"/>
          <w:bCs/>
        </w:rPr>
        <w:t>подложен на анализ за съвместимост със стратегическите цели на организацията. Проекти, които попадат в основните цели на организацията, често са обект на съпротива и с нисък приоритет.</w:t>
      </w:r>
    </w:p>
    <w:p w:rsidR="008E0199" w:rsidRPr="009C3561" w:rsidRDefault="008E0199" w:rsidP="009C3561"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</w:rPr>
      </w:pPr>
    </w:p>
    <w:p w:rsidR="001C56AC" w:rsidRPr="009C3561" w:rsidRDefault="00FA6B54" w:rsidP="004F0B3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 w:rsidRPr="009C3561">
        <w:rPr>
          <w:rFonts w:cstheme="minorHAnsi"/>
          <w:bCs/>
        </w:rPr>
        <w:t>Анализ на портфолиото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При избора на една технология и външен доставчик, голяма роля играят установените практики и политики в дадената организация. Има организации, които са избрали </w:t>
      </w:r>
      <w:r>
        <w:rPr>
          <w:rFonts w:cstheme="minorHAnsi"/>
          <w:bCs/>
          <w:lang w:val="en-US"/>
        </w:rPr>
        <w:t xml:space="preserve">Microsoft </w:t>
      </w:r>
      <w:r>
        <w:rPr>
          <w:rFonts w:cstheme="minorHAnsi"/>
          <w:bCs/>
        </w:rPr>
        <w:t xml:space="preserve">или </w:t>
      </w:r>
      <w:r>
        <w:rPr>
          <w:rFonts w:cstheme="minorHAnsi"/>
          <w:bCs/>
          <w:lang w:val="en-US"/>
        </w:rPr>
        <w:t xml:space="preserve">Oracle </w:t>
      </w:r>
      <w:r>
        <w:rPr>
          <w:rFonts w:cstheme="minorHAnsi"/>
          <w:bCs/>
        </w:rPr>
        <w:t>като основен технологичен партньор и внедряват предоставените решения, без да ги подлагат на допълнителен анализ.</w:t>
      </w: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Има организации, които боравят с предварително одобрен списък от доставчици (спуснат от компанията майка), но въпреки всичко ползват хетерогенна среда – т.е. множество партньори.</w:t>
      </w: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Има организации, които избират доставчик при всеки един проект/поръчка.</w:t>
      </w: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Също така, трябва да се прецени дали технологията попада в портфолиото от услуги, одобрено от ръководството, за използване в организацията.</w:t>
      </w:r>
    </w:p>
    <w:p w:rsidR="008E0199" w:rsidRPr="009C3561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1C56AC" w:rsidRPr="009C3561" w:rsidRDefault="00FA6B54" w:rsidP="004F0B3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 w:rsidRPr="009C3561">
        <w:rPr>
          <w:rFonts w:cstheme="minorHAnsi"/>
          <w:bCs/>
        </w:rPr>
        <w:t>Модел на теглата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Отново ще използваме опростен модел.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За базата данни, критериите ще са: първоначална инвестиция (</w:t>
      </w:r>
      <w:r>
        <w:rPr>
          <w:rFonts w:cstheme="minorHAnsi"/>
          <w:bCs/>
          <w:lang w:val="en-US"/>
        </w:rPr>
        <w:t>TCO</w:t>
      </w:r>
      <w:r>
        <w:rPr>
          <w:rFonts w:cstheme="minorHAnsi"/>
          <w:bCs/>
        </w:rPr>
        <w:t>),</w:t>
      </w:r>
      <w:r>
        <w:rPr>
          <w:rFonts w:cstheme="minorHAnsi"/>
          <w:bCs/>
          <w:lang w:val="en-US"/>
        </w:rPr>
        <w:t xml:space="preserve"> </w:t>
      </w:r>
      <w:r>
        <w:rPr>
          <w:rFonts w:cstheme="minorHAnsi"/>
          <w:bCs/>
        </w:rPr>
        <w:t>годишна поддръжка, скорост, надеждност.</w:t>
      </w:r>
    </w:p>
    <w:p w:rsid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За стойностните изражения се взима противоположната оценка -  ако оценките са от 1 до 10 и оценката е Х се взима 11 – Х.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tbl>
      <w:tblPr>
        <w:tblW w:w="609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6"/>
        <w:gridCol w:w="960"/>
        <w:gridCol w:w="960"/>
        <w:gridCol w:w="960"/>
        <w:gridCol w:w="960"/>
      </w:tblGrid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База Данни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Оценка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Критерии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Тегло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Oracle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Sybase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MS-SQL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TCO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годишна поддръжка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скорост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надеждност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</w:t>
            </w:r>
          </w:p>
        </w:tc>
      </w:tr>
    </w:tbl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За </w:t>
      </w:r>
      <w:r>
        <w:rPr>
          <w:rFonts w:cstheme="minorHAnsi"/>
          <w:bCs/>
          <w:lang w:val="en-US"/>
        </w:rPr>
        <w:t>ETL</w:t>
      </w:r>
      <w:r>
        <w:rPr>
          <w:rFonts w:cstheme="minorHAnsi"/>
          <w:bCs/>
        </w:rPr>
        <w:t xml:space="preserve"> – първоначална инвестиция (</w:t>
      </w:r>
      <w:r>
        <w:rPr>
          <w:rFonts w:cstheme="minorHAnsi"/>
          <w:bCs/>
          <w:lang w:val="en-US"/>
        </w:rPr>
        <w:t>TCO</w:t>
      </w:r>
      <w:r>
        <w:rPr>
          <w:rFonts w:cstheme="minorHAnsi"/>
          <w:bCs/>
        </w:rPr>
        <w:t>),</w:t>
      </w:r>
      <w:r>
        <w:rPr>
          <w:rFonts w:cstheme="minorHAnsi"/>
          <w:bCs/>
          <w:lang w:val="en-US"/>
        </w:rPr>
        <w:t xml:space="preserve"> </w:t>
      </w:r>
      <w:r>
        <w:rPr>
          <w:rFonts w:cstheme="minorHAnsi"/>
          <w:bCs/>
        </w:rPr>
        <w:t xml:space="preserve">годишна поддръжка, скорост, </w:t>
      </w:r>
      <w:proofErr w:type="spellStart"/>
      <w:r>
        <w:rPr>
          <w:rFonts w:cstheme="minorHAnsi"/>
          <w:bCs/>
        </w:rPr>
        <w:t>интуитивност</w:t>
      </w:r>
      <w:proofErr w:type="spellEnd"/>
      <w:r>
        <w:rPr>
          <w:rFonts w:cstheme="minorHAnsi"/>
          <w:bCs/>
        </w:rPr>
        <w:t xml:space="preserve"> </w:t>
      </w:r>
    </w:p>
    <w:p w:rsid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За стойностните изражения се взима противоположната оценка -  ако оценките са от 1 до 10 и оценката е Х се взима 11 – Х.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tbl>
      <w:tblPr>
        <w:tblW w:w="62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60"/>
        <w:gridCol w:w="960"/>
        <w:gridCol w:w="1180"/>
        <w:gridCol w:w="1053"/>
      </w:tblGrid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База Данни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Оценка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Критерии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Тегло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AbInitio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Informatica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DataStage</w:t>
            </w:r>
            <w:proofErr w:type="spellEnd"/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TCO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годишна поддръжка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скорост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интуитивност</w:t>
            </w:r>
            <w:proofErr w:type="spellEnd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13.5</w:t>
            </w:r>
          </w:p>
        </w:tc>
      </w:tr>
    </w:tbl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9C3561" w:rsidRDefault="009C3561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За доставчика </w:t>
      </w:r>
      <w:r w:rsidR="008E0199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="008E0199">
        <w:rPr>
          <w:rFonts w:cstheme="minorHAnsi"/>
          <w:bCs/>
        </w:rPr>
        <w:t xml:space="preserve">цена на </w:t>
      </w:r>
      <w:proofErr w:type="spellStart"/>
      <w:r w:rsidR="008E0199">
        <w:rPr>
          <w:rFonts w:cstheme="minorHAnsi"/>
          <w:bCs/>
        </w:rPr>
        <w:t>човекоден</w:t>
      </w:r>
      <w:proofErr w:type="spellEnd"/>
      <w:r w:rsidR="008E0199">
        <w:rPr>
          <w:rFonts w:cstheme="minorHAnsi"/>
          <w:bCs/>
        </w:rPr>
        <w:t>, опитност, ниво на експертиза</w:t>
      </w:r>
    </w:p>
    <w:p w:rsid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За стойностните изражения се взима противоположната оценка -  ако оценките са от 1 до 10 и оценката е Х се взима 11 – Х.</w:t>
      </w: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tbl>
      <w:tblPr>
        <w:tblW w:w="62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60"/>
        <w:gridCol w:w="960"/>
        <w:gridCol w:w="1180"/>
        <w:gridCol w:w="1040"/>
      </w:tblGrid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База Данни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Оценка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Критерии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Тегло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C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цена на </w:t>
            </w:r>
            <w:proofErr w:type="spellStart"/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човекоден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опитност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експертиза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color w:val="000000"/>
                <w:lang w:eastAsia="bg-BG"/>
              </w:rPr>
              <w:t>2</w:t>
            </w:r>
          </w:p>
        </w:tc>
      </w:tr>
      <w:tr w:rsidR="008E0199" w:rsidRPr="008E0199" w:rsidTr="008E0199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13.5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99" w:rsidRPr="008E0199" w:rsidRDefault="008E0199" w:rsidP="008E01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8E019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11.5</w:t>
            </w:r>
          </w:p>
        </w:tc>
      </w:tr>
    </w:tbl>
    <w:p w:rsidR="008E0199" w:rsidRDefault="008E0199" w:rsidP="008E01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</w:rPr>
      </w:pPr>
    </w:p>
    <w:p w:rsidR="008E0199" w:rsidRDefault="008E0199" w:rsidP="009C3561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>
        <w:rPr>
          <w:rFonts w:cstheme="minorHAnsi"/>
          <w:bCs/>
        </w:rPr>
        <w:t>На базата на този анализ, става ясно, че</w:t>
      </w:r>
      <w:r>
        <w:rPr>
          <w:rFonts w:cstheme="minorHAnsi"/>
          <w:bCs/>
          <w:lang w:val="en-US"/>
        </w:rPr>
        <w:t>:</w:t>
      </w:r>
    </w:p>
    <w:p w:rsidR="008E0199" w:rsidRP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>
        <w:rPr>
          <w:rFonts w:cstheme="minorHAnsi"/>
          <w:bCs/>
        </w:rPr>
        <w:t>Н</w:t>
      </w:r>
      <w:r w:rsidRPr="008E0199">
        <w:rPr>
          <w:rFonts w:cstheme="minorHAnsi"/>
          <w:bCs/>
        </w:rPr>
        <w:t xml:space="preserve">еобходим </w:t>
      </w:r>
      <w:r>
        <w:rPr>
          <w:rFonts w:cstheme="minorHAnsi"/>
          <w:bCs/>
        </w:rPr>
        <w:t xml:space="preserve">ни е </w:t>
      </w:r>
      <w:r w:rsidRPr="008E0199">
        <w:rPr>
          <w:rFonts w:cstheme="minorHAnsi"/>
          <w:bCs/>
        </w:rPr>
        <w:t xml:space="preserve">допълнителен критерии да съпоставим базите данни на </w:t>
      </w:r>
      <w:r w:rsidRPr="008E0199">
        <w:rPr>
          <w:rFonts w:cstheme="minorHAnsi"/>
          <w:bCs/>
          <w:lang w:val="en-US"/>
        </w:rPr>
        <w:t xml:space="preserve">Sybase </w:t>
      </w:r>
      <w:r w:rsidRPr="008E0199">
        <w:rPr>
          <w:rFonts w:cstheme="minorHAnsi"/>
          <w:bCs/>
        </w:rPr>
        <w:t xml:space="preserve">и </w:t>
      </w:r>
      <w:r w:rsidRPr="008E0199">
        <w:rPr>
          <w:rFonts w:cstheme="minorHAnsi"/>
          <w:bCs/>
          <w:lang w:val="en-US"/>
        </w:rPr>
        <w:t>Microsoft</w:t>
      </w:r>
    </w:p>
    <w:p w:rsid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>
        <w:rPr>
          <w:rFonts w:cstheme="minorHAnsi"/>
          <w:bCs/>
        </w:rPr>
        <w:t xml:space="preserve">Най-добре оценен е </w:t>
      </w:r>
      <w:r>
        <w:rPr>
          <w:rFonts w:cstheme="minorHAnsi"/>
          <w:bCs/>
          <w:lang w:val="en-US"/>
        </w:rPr>
        <w:t>ETL-</w:t>
      </w:r>
      <w:proofErr w:type="spellStart"/>
      <w:r>
        <w:rPr>
          <w:rFonts w:cstheme="minorHAnsi"/>
          <w:bCs/>
        </w:rPr>
        <w:t>ът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  <w:lang w:val="en-US"/>
        </w:rPr>
        <w:t>Informatica</w:t>
      </w:r>
      <w:proofErr w:type="spellEnd"/>
    </w:p>
    <w:p w:rsidR="008E0199" w:rsidRP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>
        <w:rPr>
          <w:rFonts w:cstheme="minorHAnsi"/>
          <w:bCs/>
        </w:rPr>
        <w:t>С голяма степен на увереност може да изберем фирма В за изпълнение на проекта.</w:t>
      </w:r>
    </w:p>
    <w:p w:rsidR="008E0199" w:rsidRPr="008E0199" w:rsidRDefault="008E0199" w:rsidP="008E0199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</w:p>
    <w:p w:rsidR="001C56AC" w:rsidRPr="008E0199" w:rsidRDefault="00FA6B54" w:rsidP="004F0B3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 w:rsidRPr="009C3561">
        <w:rPr>
          <w:rFonts w:cstheme="minorHAnsi"/>
          <w:bCs/>
        </w:rPr>
        <w:t>Външно финансиране</w:t>
      </w:r>
    </w:p>
    <w:p w:rsidR="008E0199" w:rsidRP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Често, дори компанията да разполага със собствен свободен ресурс, се решава проектите да бъдат финансирани от външни източници(напр. банки). Това се прави с оглед на следните причини:</w:t>
      </w:r>
    </w:p>
    <w:p w:rsid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Запазване на ликвидността на компанията</w:t>
      </w:r>
    </w:p>
    <w:p w:rsid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Повишаване на контрола и дисциплината по проекта</w:t>
      </w:r>
    </w:p>
    <w:p w:rsidR="008E0199" w:rsidRPr="008E0199" w:rsidRDefault="008E0199" w:rsidP="008E0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Обективен аргумент за изискване на минимална рентабилност на проекта</w:t>
      </w:r>
    </w:p>
    <w:p w:rsidR="008E0199" w:rsidRPr="008E0199" w:rsidRDefault="008E0199" w:rsidP="008E019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1C56AC" w:rsidRPr="009C3561" w:rsidRDefault="00FA6B54" w:rsidP="004F0B3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r w:rsidRPr="009C3561">
        <w:rPr>
          <w:rFonts w:cstheme="minorHAnsi"/>
          <w:bCs/>
        </w:rPr>
        <w:t>Трансфер на знания</w:t>
      </w:r>
    </w:p>
    <w:p w:rsidR="004F0B3C" w:rsidRPr="004F0B3C" w:rsidRDefault="004F0B3C" w:rsidP="004F0B3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6"/>
          <w:szCs w:val="26"/>
        </w:rPr>
      </w:pPr>
    </w:p>
    <w:p w:rsidR="004F0B3C" w:rsidRPr="004F0B3C" w:rsidRDefault="008E0199">
      <w:pPr>
        <w:rPr>
          <w:rFonts w:cstheme="minorHAnsi"/>
          <w:bCs/>
          <w:sz w:val="26"/>
          <w:szCs w:val="26"/>
        </w:rPr>
      </w:pPr>
      <w:r>
        <w:rPr>
          <w:rFonts w:cstheme="minorHAnsi"/>
          <w:bCs/>
        </w:rPr>
        <w:t xml:space="preserve">При работа със външни доставчици, неминуемо се стига до трансфер на знания и в двете посоки. Поради тази причина, не само е задължително подписването и спазването на клаузи за </w:t>
      </w:r>
      <w:proofErr w:type="spellStart"/>
      <w:r>
        <w:rPr>
          <w:rFonts w:cstheme="minorHAnsi"/>
          <w:bCs/>
        </w:rPr>
        <w:t>конфиденциалност</w:t>
      </w:r>
      <w:proofErr w:type="spellEnd"/>
      <w:r>
        <w:rPr>
          <w:rFonts w:cstheme="minorHAnsi"/>
          <w:bCs/>
        </w:rPr>
        <w:t xml:space="preserve">, но и внимателното подбиране на екипа и доставчика. В общия случай трансфера на знания има положителен, </w:t>
      </w:r>
      <w:proofErr w:type="spellStart"/>
      <w:r>
        <w:rPr>
          <w:rFonts w:cstheme="minorHAnsi"/>
          <w:bCs/>
        </w:rPr>
        <w:t>синергиен</w:t>
      </w:r>
      <w:proofErr w:type="spellEnd"/>
      <w:r>
        <w:rPr>
          <w:rFonts w:cstheme="minorHAnsi"/>
          <w:bCs/>
        </w:rPr>
        <w:t>, ефект, който повишава квалификацията и мотивацията на екипа, но винаги съществува опасност от изтичане на информация и загуба на стратегически предимства.</w:t>
      </w:r>
      <w:r w:rsidR="004F0B3C" w:rsidRPr="004F0B3C">
        <w:rPr>
          <w:rFonts w:cstheme="minorHAnsi"/>
          <w:bCs/>
          <w:sz w:val="26"/>
          <w:szCs w:val="26"/>
        </w:rPr>
        <w:br w:type="page"/>
      </w:r>
    </w:p>
    <w:p w:rsidR="001C56AC" w:rsidRPr="00FA6B54" w:rsidRDefault="00FA6B54" w:rsidP="00B94CFD">
      <w:pPr>
        <w:pStyle w:val="ListParagraph"/>
        <w:numPr>
          <w:ilvl w:val="0"/>
          <w:numId w:val="1"/>
        </w:numPr>
        <w:outlineLvl w:val="0"/>
        <w:rPr>
          <w:rFonts w:cstheme="minorHAnsi"/>
          <w:bCs/>
          <w:sz w:val="26"/>
          <w:szCs w:val="26"/>
          <w:lang w:val="en-US"/>
        </w:rPr>
      </w:pPr>
      <w:bookmarkStart w:id="4" w:name="_Toc315275182"/>
      <w:r w:rsidRPr="00FA6B54">
        <w:rPr>
          <w:rFonts w:cstheme="minorHAnsi"/>
          <w:bCs/>
          <w:sz w:val="26"/>
          <w:szCs w:val="26"/>
        </w:rPr>
        <w:t>Инвестиции в УИС и тяхната продуктивност</w:t>
      </w:r>
      <w:bookmarkEnd w:id="4"/>
    </w:p>
    <w:p w:rsidR="001C56AC" w:rsidRDefault="00076B81" w:rsidP="001C56AC">
      <w:pPr>
        <w:rPr>
          <w:rFonts w:cstheme="minorHAnsi"/>
        </w:rPr>
      </w:pPr>
      <w:r>
        <w:rPr>
          <w:rFonts w:cstheme="minorHAnsi"/>
        </w:rPr>
        <w:t xml:space="preserve">През последните 20 години все по голяма част от разходите на компаниите са за придобиване и поддръжка на информационни технологии. Процента на разходите може да бъде и над 50 за технологичните компании и е поне 10-20 при </w:t>
      </w:r>
      <w:proofErr w:type="spellStart"/>
      <w:r>
        <w:rPr>
          <w:rFonts w:cstheme="minorHAnsi"/>
        </w:rPr>
        <w:t>по-закостенялите</w:t>
      </w:r>
      <w:proofErr w:type="spellEnd"/>
      <w:r>
        <w:rPr>
          <w:rFonts w:cstheme="minorHAnsi"/>
        </w:rPr>
        <w:t xml:space="preserve"> институции като банки и министерства.</w:t>
      </w:r>
    </w:p>
    <w:p w:rsidR="00076B81" w:rsidRDefault="00076B81" w:rsidP="001C56AC">
      <w:pPr>
        <w:rPr>
          <w:rFonts w:cstheme="minorHAnsi"/>
        </w:rPr>
      </w:pPr>
      <w:r>
        <w:rPr>
          <w:rFonts w:cstheme="minorHAnsi"/>
        </w:rPr>
        <w:t>Успехът на проектите се влияе основно от следните фактори: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Качество на технологията и нейния потенциал за развитие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Качеството на екипа ангажиран с внедряването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Успешното ръководене на проекта</w:t>
      </w:r>
    </w:p>
    <w:p w:rsidR="00076B81" w:rsidRPr="00076B81" w:rsidRDefault="00076B81" w:rsidP="00076B81">
      <w:pPr>
        <w:rPr>
          <w:rFonts w:cstheme="minorHAnsi"/>
        </w:rPr>
      </w:pPr>
    </w:p>
    <w:p w:rsidR="00076B81" w:rsidRDefault="00076B81" w:rsidP="00076B8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Качество</w:t>
      </w:r>
      <w:r>
        <w:rPr>
          <w:rFonts w:cstheme="minorHAnsi"/>
        </w:rPr>
        <w:t>то</w:t>
      </w:r>
      <w:r>
        <w:rPr>
          <w:rFonts w:cstheme="minorHAnsi"/>
        </w:rPr>
        <w:t xml:space="preserve"> на технологията и нейния потенциал за развитие</w:t>
      </w:r>
      <w:r>
        <w:rPr>
          <w:rFonts w:cstheme="minorHAnsi"/>
        </w:rPr>
        <w:t>, се определя на стратегическо ниво. Важно е да се оцени</w:t>
      </w:r>
    </w:p>
    <w:p w:rsidR="00076B81" w:rsidRDefault="00076B81" w:rsidP="00076B81">
      <w:pPr>
        <w:pStyle w:val="ListParagraph"/>
        <w:ind w:left="1080"/>
        <w:rPr>
          <w:rFonts w:cstheme="minorHAnsi"/>
        </w:rPr>
      </w:pP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Каква е вероятността този продукт да бъде развиван и поддържан в бъдеще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Колко рискова е политиката на доставчика – дали го застрашава фалит или се развива прекомерно бързо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До колко технологията отговаря на съвременните стандарти и технологии и т.н.</w:t>
      </w:r>
    </w:p>
    <w:p w:rsidR="00076B81" w:rsidRDefault="00076B81" w:rsidP="00076B81">
      <w:pPr>
        <w:rPr>
          <w:rFonts w:cstheme="minorHAnsi"/>
        </w:rPr>
      </w:pPr>
    </w:p>
    <w:p w:rsidR="00076B81" w:rsidRDefault="00076B81" w:rsidP="00076B8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Качеството на екипа ангажиран с внедряването</w:t>
      </w:r>
    </w:p>
    <w:p w:rsidR="00076B81" w:rsidRPr="00076B81" w:rsidRDefault="00076B81" w:rsidP="00076B81">
      <w:pPr>
        <w:rPr>
          <w:rFonts w:cstheme="minorHAnsi"/>
        </w:rPr>
      </w:pPr>
      <w:r>
        <w:rPr>
          <w:rFonts w:cstheme="minorHAnsi"/>
        </w:rPr>
        <w:t>Счита се, че качествен екип може да направи успешно внедряване с некачествен продукт, докато обратното не е възможно. Важни за проекта са качества като: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Познаване на съответната технология (опит)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Мотивация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Екип (сработен и без излишно напрежение)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Комуникационни умения (балансирани и ефективни)</w:t>
      </w:r>
    </w:p>
    <w:p w:rsidR="00076B81" w:rsidRDefault="00076B81" w:rsidP="00076B81">
      <w:pPr>
        <w:rPr>
          <w:rFonts w:cstheme="minorHAnsi"/>
        </w:rPr>
      </w:pPr>
    </w:p>
    <w:p w:rsidR="00076B81" w:rsidRDefault="00076B81" w:rsidP="00076B8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Успешното ръководене на проекта</w:t>
      </w:r>
    </w:p>
    <w:p w:rsidR="00076B81" w:rsidRDefault="00076B81" w:rsidP="00076B81">
      <w:pPr>
        <w:rPr>
          <w:rFonts w:cstheme="minorHAnsi"/>
        </w:rPr>
      </w:pPr>
      <w:r>
        <w:rPr>
          <w:rFonts w:cstheme="minorHAnsi"/>
        </w:rPr>
        <w:t xml:space="preserve">Това е може би най съществената предпоставка. Аспектите, които влияят върху тази дейност са: 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 w:rsidRPr="00076B81">
        <w:rPr>
          <w:rFonts w:cstheme="minorHAnsi"/>
        </w:rPr>
        <w:t xml:space="preserve">Повечето организация имат функционална структура (в най-добрия случай – слаба матрица), което прави работата по проекти нежелана и неефективна. 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Във функционалните организации, рядко има възприета методология за внедряване на проекти</w:t>
      </w:r>
    </w:p>
    <w:p w:rsidR="00076B81" w:rsidRDefault="00076B81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Няма стандарти за събиране на изисквания, което води до тяхната </w:t>
      </w:r>
      <w:proofErr w:type="spellStart"/>
      <w:r>
        <w:rPr>
          <w:rFonts w:cstheme="minorHAnsi"/>
        </w:rPr>
        <w:t>непълност</w:t>
      </w:r>
      <w:proofErr w:type="spellEnd"/>
      <w:r>
        <w:rPr>
          <w:rFonts w:cstheme="minorHAnsi"/>
        </w:rPr>
        <w:t>, и в последствие, до преработка</w:t>
      </w:r>
    </w:p>
    <w:p w:rsidR="00172FE5" w:rsidRDefault="00172FE5" w:rsidP="00076B81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Не с е създава необходимата проектна структура, която да е посветне на успеха на проекта.</w:t>
      </w:r>
    </w:p>
    <w:p w:rsidR="00172FE5" w:rsidRDefault="00172FE5" w:rsidP="00172FE5">
      <w:pPr>
        <w:rPr>
          <w:rFonts w:cstheme="minorHAnsi"/>
          <w:lang w:val="en-US"/>
        </w:rPr>
      </w:pPr>
      <w:r>
        <w:rPr>
          <w:rFonts w:cstheme="minorHAnsi"/>
        </w:rPr>
        <w:t>Независимо от всички трудности</w:t>
      </w:r>
      <w:r w:rsidR="009E46C6">
        <w:rPr>
          <w:rFonts w:cstheme="minorHAnsi"/>
        </w:rPr>
        <w:t>, и от това, че едва 60% от проектите се смятат за успешни, организациите ще продължат да инвестират в информационни технологии. Дори когато разходите са били силно надвишени, проекта се е забавил с повече от 20% от планираното времето и не е доставено абсолютно всичко, което е било поискано, организациите извличат достатъчно полза от тези инвестиции, запазвайки своите конкурентни предимства и възприемайки съвременните стандарти за информационно обслужване.</w:t>
      </w:r>
    </w:p>
    <w:p w:rsidR="00C325BC" w:rsidRDefault="00C325BC" w:rsidP="00172FE5">
      <w:pPr>
        <w:rPr>
          <w:rFonts w:cstheme="minorHAnsi"/>
          <w:lang w:val="en-US"/>
        </w:rPr>
      </w:pPr>
    </w:p>
    <w:p w:rsidR="00C325BC" w:rsidRPr="00C325BC" w:rsidRDefault="00C325BC" w:rsidP="00172FE5">
      <w:pPr>
        <w:rPr>
          <w:rFonts w:cstheme="minorHAnsi"/>
          <w:lang w:val="en-US"/>
        </w:rPr>
      </w:pPr>
    </w:p>
    <w:p w:rsidR="00C325BC" w:rsidRPr="00C325BC" w:rsidRDefault="00C325BC" w:rsidP="00C325BC">
      <w:pPr>
        <w:pStyle w:val="ListParagraph"/>
        <w:numPr>
          <w:ilvl w:val="0"/>
          <w:numId w:val="1"/>
        </w:numPr>
        <w:outlineLvl w:val="0"/>
        <w:rPr>
          <w:rFonts w:cstheme="minorHAnsi"/>
          <w:bCs/>
          <w:sz w:val="26"/>
          <w:szCs w:val="26"/>
          <w:lang w:val="en-US"/>
        </w:rPr>
      </w:pPr>
      <w:bookmarkStart w:id="5" w:name="_Toc315275183"/>
      <w:r>
        <w:rPr>
          <w:rFonts w:cstheme="minorHAnsi"/>
          <w:bCs/>
          <w:sz w:val="26"/>
          <w:szCs w:val="26"/>
        </w:rPr>
        <w:t>Ползвана литература:</w:t>
      </w:r>
      <w:bookmarkEnd w:id="5"/>
    </w:p>
    <w:p w:rsidR="00C325BC" w:rsidRDefault="00C325BC" w:rsidP="00C325BC">
      <w:pPr>
        <w:pStyle w:val="ListParagraph"/>
        <w:rPr>
          <w:rFonts w:cstheme="minorHAnsi"/>
          <w:bCs/>
          <w:i/>
          <w:sz w:val="26"/>
          <w:szCs w:val="26"/>
          <w:lang w:val="en-US"/>
        </w:rPr>
      </w:pPr>
      <w:r w:rsidRPr="00C325BC">
        <w:rPr>
          <w:rFonts w:cstheme="minorHAnsi"/>
          <w:bCs/>
          <w:i/>
          <w:sz w:val="26"/>
          <w:szCs w:val="26"/>
          <w:lang w:val="en-US"/>
        </w:rPr>
        <w:t>Management Information Systems: Managing the Digital Firm</w:t>
      </w:r>
      <w:r>
        <w:rPr>
          <w:rFonts w:cstheme="minorHAnsi"/>
          <w:bCs/>
          <w:i/>
          <w:sz w:val="26"/>
          <w:szCs w:val="26"/>
        </w:rPr>
        <w:t xml:space="preserve"> – </w:t>
      </w:r>
      <w:r>
        <w:rPr>
          <w:rFonts w:cstheme="minorHAnsi"/>
          <w:bCs/>
          <w:i/>
          <w:sz w:val="26"/>
          <w:szCs w:val="26"/>
          <w:lang w:val="en-US"/>
        </w:rPr>
        <w:t>Ninth edition</w:t>
      </w:r>
    </w:p>
    <w:p w:rsidR="00C325BC" w:rsidRPr="00C325BC" w:rsidRDefault="00C325BC" w:rsidP="00C325BC">
      <w:pPr>
        <w:pStyle w:val="ListParagraph"/>
        <w:rPr>
          <w:rFonts w:cstheme="minorHAnsi"/>
          <w:bCs/>
          <w:i/>
          <w:sz w:val="26"/>
          <w:szCs w:val="26"/>
          <w:lang w:val="en-US"/>
        </w:rPr>
      </w:pPr>
      <w:r w:rsidRPr="00C325BC">
        <w:rPr>
          <w:rFonts w:cstheme="minorHAnsi"/>
          <w:bCs/>
          <w:i/>
          <w:sz w:val="26"/>
          <w:szCs w:val="26"/>
          <w:lang w:val="en-US"/>
        </w:rPr>
        <w:t xml:space="preserve">Kenneth C. </w:t>
      </w:r>
      <w:proofErr w:type="spellStart"/>
      <w:r w:rsidRPr="00C325BC">
        <w:rPr>
          <w:rFonts w:cstheme="minorHAnsi"/>
          <w:bCs/>
          <w:i/>
          <w:sz w:val="26"/>
          <w:szCs w:val="26"/>
          <w:lang w:val="en-US"/>
        </w:rPr>
        <w:t>Laudon</w:t>
      </w:r>
      <w:proofErr w:type="spellEnd"/>
      <w:r w:rsidRPr="00C325BC">
        <w:rPr>
          <w:rFonts w:cstheme="minorHAnsi"/>
          <w:bCs/>
          <w:i/>
          <w:sz w:val="26"/>
          <w:szCs w:val="26"/>
          <w:lang w:val="en-US"/>
        </w:rPr>
        <w:t xml:space="preserve">, Jane P. </w:t>
      </w:r>
      <w:proofErr w:type="spellStart"/>
      <w:r w:rsidRPr="00C325BC">
        <w:rPr>
          <w:rFonts w:cstheme="minorHAnsi"/>
          <w:bCs/>
          <w:i/>
          <w:sz w:val="26"/>
          <w:szCs w:val="26"/>
          <w:lang w:val="en-US"/>
        </w:rPr>
        <w:t>Laudon</w:t>
      </w:r>
      <w:proofErr w:type="spellEnd"/>
    </w:p>
    <w:p w:rsidR="00C325BC" w:rsidRPr="00172FE5" w:rsidRDefault="00C325BC" w:rsidP="00172FE5">
      <w:pPr>
        <w:rPr>
          <w:rFonts w:cstheme="minorHAnsi"/>
        </w:rPr>
      </w:pPr>
    </w:p>
    <w:sectPr w:rsidR="00C325BC" w:rsidRPr="00172FE5" w:rsidSect="007F35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DD" w:rsidRDefault="006903DD" w:rsidP="00B94CFD">
      <w:pPr>
        <w:spacing w:after="0" w:line="240" w:lineRule="auto"/>
      </w:pPr>
      <w:r>
        <w:separator/>
      </w:r>
    </w:p>
  </w:endnote>
  <w:endnote w:type="continuationSeparator" w:id="0">
    <w:p w:rsidR="006903DD" w:rsidRDefault="006903DD" w:rsidP="00B9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6358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4CFD" w:rsidRDefault="00B94C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B53">
          <w:rPr>
            <w:noProof/>
          </w:rPr>
          <w:t>2</w:t>
        </w:r>
        <w:r>
          <w:rPr>
            <w:noProof/>
          </w:rPr>
          <w:fldChar w:fldCharType="end"/>
        </w:r>
        <w:r w:rsidR="00C325BC">
          <w:rPr>
            <w:noProof/>
          </w:rPr>
          <w:t>/11</w:t>
        </w:r>
      </w:p>
    </w:sdtContent>
  </w:sdt>
  <w:p w:rsidR="00B94CFD" w:rsidRDefault="00B94C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DD" w:rsidRDefault="006903DD" w:rsidP="00B94CFD">
      <w:pPr>
        <w:spacing w:after="0" w:line="240" w:lineRule="auto"/>
      </w:pPr>
      <w:r>
        <w:separator/>
      </w:r>
    </w:p>
  </w:footnote>
  <w:footnote w:type="continuationSeparator" w:id="0">
    <w:p w:rsidR="006903DD" w:rsidRDefault="006903DD" w:rsidP="00B94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DBA"/>
    <w:multiLevelType w:val="hybridMultilevel"/>
    <w:tmpl w:val="367826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84A6A"/>
    <w:multiLevelType w:val="hybridMultilevel"/>
    <w:tmpl w:val="198ECFD6"/>
    <w:lvl w:ilvl="0" w:tplc="E6BA27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8368F"/>
    <w:multiLevelType w:val="multilevel"/>
    <w:tmpl w:val="AF1EB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">
    <w:nsid w:val="6DDC615E"/>
    <w:multiLevelType w:val="multilevel"/>
    <w:tmpl w:val="AF1EB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6AC"/>
    <w:rsid w:val="00044894"/>
    <w:rsid w:val="00076B81"/>
    <w:rsid w:val="000E5E09"/>
    <w:rsid w:val="00172FE5"/>
    <w:rsid w:val="001C56AC"/>
    <w:rsid w:val="00200514"/>
    <w:rsid w:val="002F43EA"/>
    <w:rsid w:val="003366E3"/>
    <w:rsid w:val="00356E25"/>
    <w:rsid w:val="003A253D"/>
    <w:rsid w:val="003D3EA1"/>
    <w:rsid w:val="004F0B3C"/>
    <w:rsid w:val="00524B53"/>
    <w:rsid w:val="006903DD"/>
    <w:rsid w:val="006F43AF"/>
    <w:rsid w:val="007F35B3"/>
    <w:rsid w:val="008E0199"/>
    <w:rsid w:val="009C3561"/>
    <w:rsid w:val="009E46C6"/>
    <w:rsid w:val="00A4107F"/>
    <w:rsid w:val="00A65D2A"/>
    <w:rsid w:val="00AC2A64"/>
    <w:rsid w:val="00B6394F"/>
    <w:rsid w:val="00B94CFD"/>
    <w:rsid w:val="00C14FDB"/>
    <w:rsid w:val="00C325BC"/>
    <w:rsid w:val="00CA73D7"/>
    <w:rsid w:val="00CD0922"/>
    <w:rsid w:val="00FA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5B3"/>
  </w:style>
  <w:style w:type="paragraph" w:styleId="Heading1">
    <w:name w:val="heading 1"/>
    <w:basedOn w:val="Normal"/>
    <w:next w:val="Normal"/>
    <w:link w:val="Heading1Char"/>
    <w:uiPriority w:val="9"/>
    <w:qFormat/>
    <w:rsid w:val="00B94C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3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F43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3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FD"/>
  </w:style>
  <w:style w:type="paragraph" w:styleId="Footer">
    <w:name w:val="footer"/>
    <w:basedOn w:val="Normal"/>
    <w:link w:val="FooterChar"/>
    <w:uiPriority w:val="99"/>
    <w:unhideWhenUsed/>
    <w:rsid w:val="00B9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FD"/>
  </w:style>
  <w:style w:type="character" w:customStyle="1" w:styleId="Heading1Char">
    <w:name w:val="Heading 1 Char"/>
    <w:basedOn w:val="DefaultParagraphFont"/>
    <w:link w:val="Heading1"/>
    <w:uiPriority w:val="9"/>
    <w:rsid w:val="00B94C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CFD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94CF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94C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0168-15EF-4695-A3BF-D553BB69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Eurobank EFG BG</Company>
  <LinksUpToDate>false</LinksUpToDate>
  <CharactersWithSpaces>15453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IDikov</dc:creator>
  <cp:keywords/>
  <dc:description/>
  <cp:lastModifiedBy>IDikov</cp:lastModifiedBy>
  <cp:revision>10</cp:revision>
  <dcterms:created xsi:type="dcterms:W3CDTF">2012-01-24T10:46:00Z</dcterms:created>
  <dcterms:modified xsi:type="dcterms:W3CDTF">2012-01-25T15:17:00Z</dcterms:modified>
</cp:coreProperties>
</file>